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763D" w14:textId="77777777" w:rsidR="00F944C5" w:rsidRDefault="00F944C5" w:rsidP="00F9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Адаптовані к</w:t>
      </w:r>
      <w:r w:rsidRPr="00AB2B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лінічні рекомендації </w:t>
      </w:r>
    </w:p>
    <w:p w14:paraId="4416BFAD" w14:textId="77777777" w:rsidR="00F944C5" w:rsidRDefault="00F944C5" w:rsidP="00F9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Української асоціації нефрологів і фахівців з трансплантації нирки</w:t>
      </w:r>
    </w:p>
    <w:p w14:paraId="37C42E8F" w14:textId="77777777" w:rsidR="00F944C5" w:rsidRDefault="00F944C5" w:rsidP="00F9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37E277" w14:textId="535CD94D" w:rsidR="00D01A2D" w:rsidRPr="00AB2B8D" w:rsidRDefault="00425410" w:rsidP="00D01A2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D01A2D" w:rsidRPr="00761E9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едення хворих на ХХН I-IV стадій в умовах пандемії COVID-19</w:t>
      </w:r>
    </w:p>
    <w:p w14:paraId="2D142204" w14:textId="0AB6CD4C" w:rsidR="00D01A2D" w:rsidRDefault="00D01A2D" w:rsidP="00D01A2D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7560C6" w14:textId="61F47AE0" w:rsidR="00D01A2D" w:rsidRPr="00D01A2D" w:rsidRDefault="00D01A2D" w:rsidP="00F94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A2D">
        <w:rPr>
          <w:rFonts w:ascii="Times New Roman" w:hAnsi="Times New Roman" w:cs="Times New Roman"/>
          <w:sz w:val="28"/>
          <w:szCs w:val="28"/>
          <w:lang w:val="uk-UA"/>
        </w:rPr>
        <w:t>Склад експертної групи: голова – М.Колесник, заступники:</w:t>
      </w:r>
      <w:r w:rsidR="00F944C5" w:rsidRPr="00F94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4C5" w:rsidRPr="00D01A2D">
        <w:rPr>
          <w:rFonts w:ascii="Times New Roman" w:hAnsi="Times New Roman" w:cs="Times New Roman"/>
          <w:sz w:val="28"/>
          <w:szCs w:val="28"/>
          <w:lang w:val="uk-UA"/>
        </w:rPr>
        <w:t xml:space="preserve">Н.Степанова, </w:t>
      </w:r>
      <w:r w:rsidRPr="00D01A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І.Дудар, члени: Е.</w:t>
      </w:r>
      <w:r w:rsidR="00F944C5">
        <w:rPr>
          <w:rFonts w:ascii="Times New Roman" w:hAnsi="Times New Roman" w:cs="Times New Roman"/>
          <w:sz w:val="28"/>
          <w:szCs w:val="28"/>
          <w:lang w:val="uk-UA"/>
        </w:rPr>
        <w:t>Красюк, Л.</w:t>
      </w:r>
      <w:proofErr w:type="spellStart"/>
      <w:r w:rsidRPr="00D01A2D">
        <w:rPr>
          <w:rFonts w:ascii="Times New Roman" w:hAnsi="Times New Roman" w:cs="Times New Roman"/>
          <w:sz w:val="28"/>
          <w:szCs w:val="28"/>
          <w:lang w:val="uk-UA"/>
        </w:rPr>
        <w:t>Ліксунова</w:t>
      </w:r>
      <w:proofErr w:type="spellEnd"/>
      <w:r w:rsidRPr="00D01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</w:t>
      </w:r>
      <w:proofErr w:type="spellEnd"/>
    </w:p>
    <w:p w14:paraId="06AF95BC" w14:textId="190FF742" w:rsidR="00D01A2D" w:rsidRPr="00D01A2D" w:rsidRDefault="00D01A2D" w:rsidP="00F944C5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10D22D9" w14:textId="3ED57744" w:rsidR="004617B6" w:rsidRDefault="00F6010A" w:rsidP="004D4E7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B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D7614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пан</w:t>
      </w:r>
      <w:r w:rsidR="00FE1CAE">
        <w:rPr>
          <w:rFonts w:ascii="Times New Roman" w:hAnsi="Times New Roman" w:cs="Times New Roman"/>
          <w:sz w:val="28"/>
          <w:szCs w:val="28"/>
          <w:lang w:val="uk-UA"/>
        </w:rPr>
        <w:t>демії</w:t>
      </w:r>
      <w:r w:rsidR="00D06621" w:rsidRPr="00FD7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47191951"/>
      <w:r w:rsidR="00D06621" w:rsidRPr="00FD7614">
        <w:rPr>
          <w:rFonts w:ascii="Times New Roman" w:hAnsi="Times New Roman" w:cs="Times New Roman"/>
          <w:sz w:val="28"/>
          <w:szCs w:val="28"/>
          <w:lang w:val="uk-UA"/>
        </w:rPr>
        <w:t xml:space="preserve">COVID-19 </w:t>
      </w:r>
      <w:bookmarkEnd w:id="0"/>
      <w:r w:rsidR="004617B6">
        <w:rPr>
          <w:rFonts w:ascii="Times New Roman" w:hAnsi="Times New Roman" w:cs="Times New Roman"/>
          <w:sz w:val="28"/>
          <w:szCs w:val="28"/>
          <w:lang w:val="uk-UA"/>
        </w:rPr>
        <w:t xml:space="preserve">виникла необхідність приймати </w:t>
      </w:r>
      <w:r w:rsidR="00FE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7B6">
        <w:rPr>
          <w:rFonts w:ascii="Times New Roman" w:hAnsi="Times New Roman" w:cs="Times New Roman"/>
          <w:sz w:val="28"/>
          <w:szCs w:val="28"/>
          <w:lang w:val="uk-UA"/>
        </w:rPr>
        <w:t>складні</w:t>
      </w:r>
      <w:r w:rsidR="00FD7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7B6">
        <w:rPr>
          <w:rFonts w:ascii="Times New Roman" w:hAnsi="Times New Roman" w:cs="Times New Roman"/>
          <w:sz w:val="28"/>
          <w:szCs w:val="28"/>
          <w:lang w:val="uk-UA"/>
        </w:rPr>
        <w:t>клінічні</w:t>
      </w:r>
      <w:r w:rsidR="00FE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7B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D7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621" w:rsidRPr="00FD761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D7614">
        <w:rPr>
          <w:rFonts w:ascii="Times New Roman" w:hAnsi="Times New Roman" w:cs="Times New Roman"/>
          <w:sz w:val="28"/>
          <w:szCs w:val="28"/>
          <w:lang w:val="uk-UA"/>
        </w:rPr>
        <w:t>ведення хворих на хронічну хворобу нирок (ХХН)</w:t>
      </w:r>
      <w:r w:rsidR="00D06621" w:rsidRPr="00FD76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1CAE">
        <w:rPr>
          <w:rFonts w:ascii="Times New Roman" w:hAnsi="Times New Roman" w:cs="Times New Roman"/>
          <w:sz w:val="28"/>
          <w:szCs w:val="28"/>
          <w:lang w:val="uk-UA"/>
        </w:rPr>
        <w:t xml:space="preserve">Пацієнти з ХХН належать до групи високого ризику щодо несприятливих наслідків інфікування </w:t>
      </w:r>
      <w:bookmarkStart w:id="1" w:name="_Hlk47192996"/>
      <w:r w:rsidR="00FE1CAE" w:rsidRPr="00FE1CAE">
        <w:rPr>
          <w:rFonts w:ascii="Times New Roman" w:hAnsi="Times New Roman" w:cs="Times New Roman"/>
          <w:sz w:val="28"/>
          <w:szCs w:val="28"/>
          <w:lang w:val="uk-UA"/>
        </w:rPr>
        <w:t>COVID-19</w:t>
      </w:r>
      <w:bookmarkEnd w:id="1"/>
      <w:r w:rsidR="00FE1CAE">
        <w:rPr>
          <w:rFonts w:ascii="Times New Roman" w:hAnsi="Times New Roman" w:cs="Times New Roman"/>
          <w:sz w:val="28"/>
          <w:szCs w:val="28"/>
          <w:lang w:val="uk-UA"/>
        </w:rPr>
        <w:t xml:space="preserve">, адже </w:t>
      </w:r>
      <w:r w:rsidR="004617B6">
        <w:rPr>
          <w:rFonts w:ascii="Times New Roman" w:hAnsi="Times New Roman" w:cs="Times New Roman"/>
          <w:sz w:val="28"/>
          <w:szCs w:val="28"/>
          <w:lang w:val="uk-UA"/>
        </w:rPr>
        <w:t>значна їх кількість</w:t>
      </w:r>
      <w:r w:rsidR="00FE1CAE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471C2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E1CAE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функції нирок або отриму</w:t>
      </w:r>
      <w:r w:rsidR="00471C2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E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1CAE">
        <w:rPr>
          <w:rFonts w:ascii="Times New Roman" w:hAnsi="Times New Roman" w:cs="Times New Roman"/>
          <w:sz w:val="28"/>
          <w:szCs w:val="28"/>
          <w:lang w:val="uk-UA"/>
        </w:rPr>
        <w:t>імуносупресивну</w:t>
      </w:r>
      <w:proofErr w:type="spellEnd"/>
      <w:r w:rsidR="00FE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159">
        <w:rPr>
          <w:rFonts w:ascii="Times New Roman" w:hAnsi="Times New Roman" w:cs="Times New Roman"/>
          <w:sz w:val="28"/>
          <w:szCs w:val="28"/>
          <w:lang w:val="uk-UA"/>
        </w:rPr>
        <w:t xml:space="preserve">(ІС) </w:t>
      </w:r>
      <w:r w:rsidR="00FE1CAE">
        <w:rPr>
          <w:rFonts w:ascii="Times New Roman" w:hAnsi="Times New Roman" w:cs="Times New Roman"/>
          <w:sz w:val="28"/>
          <w:szCs w:val="28"/>
          <w:lang w:val="uk-UA"/>
        </w:rPr>
        <w:t xml:space="preserve">терапію. </w:t>
      </w:r>
      <w:r w:rsidR="00AB2B8D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7D6B7A" w:rsidRPr="007D6B7A">
        <w:rPr>
          <w:rFonts w:ascii="Times New Roman" w:hAnsi="Times New Roman" w:cs="Times New Roman"/>
          <w:sz w:val="28"/>
          <w:szCs w:val="28"/>
          <w:lang w:val="uk-UA"/>
        </w:rPr>
        <w:t>серед хворих</w:t>
      </w:r>
      <w:r w:rsidR="004617B6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 на ХХН</w:t>
      </w:r>
      <w:r w:rsidR="00FE1CAE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 багато </w:t>
      </w:r>
      <w:r w:rsidR="004617B6" w:rsidRPr="007D6B7A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F43A74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 старшої вікової групи з </w:t>
      </w:r>
      <w:r w:rsidR="004617B6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високим рівнем </w:t>
      </w:r>
      <w:proofErr w:type="spellStart"/>
      <w:r w:rsidR="004617B6" w:rsidRPr="007D6B7A"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 w:rsidR="004617B6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F43A74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617B6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не тільки </w:t>
      </w:r>
      <w:r w:rsidR="00F43A74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підвищує ризик </w:t>
      </w:r>
      <w:r w:rsidR="004617B6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інфікування SARS-CoV-2, а і формування </w:t>
      </w:r>
      <w:r w:rsidR="00F944C5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proofErr w:type="spellStart"/>
      <w:r w:rsidR="00F944C5" w:rsidRPr="007D6B7A">
        <w:rPr>
          <w:rFonts w:ascii="Times New Roman" w:hAnsi="Times New Roman" w:cs="Times New Roman"/>
          <w:sz w:val="28"/>
          <w:szCs w:val="28"/>
          <w:lang w:val="uk-UA"/>
        </w:rPr>
        <w:t>загрожуючи</w:t>
      </w:r>
      <w:r w:rsidR="007D6B7A" w:rsidRPr="007D6B7A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F944C5" w:rsidRPr="007D6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A74" w:rsidRPr="007D6B7A">
        <w:rPr>
          <w:rFonts w:ascii="Times New Roman" w:hAnsi="Times New Roman" w:cs="Times New Roman"/>
          <w:sz w:val="28"/>
          <w:szCs w:val="28"/>
          <w:lang w:val="uk-UA"/>
        </w:rPr>
        <w:t>ускладнень</w:t>
      </w:r>
      <w:r w:rsidR="00F43A74" w:rsidRPr="007D6B7A">
        <w:rPr>
          <w:lang w:val="uk-UA"/>
        </w:rPr>
        <w:t xml:space="preserve"> </w:t>
      </w:r>
      <w:r w:rsidR="00F43A74" w:rsidRPr="007D6B7A">
        <w:rPr>
          <w:rFonts w:ascii="Times New Roman" w:hAnsi="Times New Roman" w:cs="Times New Roman"/>
          <w:sz w:val="28"/>
          <w:szCs w:val="28"/>
          <w:lang w:val="uk-UA"/>
        </w:rPr>
        <w:t>COVID-19.</w:t>
      </w:r>
      <w:r w:rsidR="00F43A74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</w:t>
      </w:r>
      <w:r w:rsidR="00AB2B8D">
        <w:rPr>
          <w:rFonts w:ascii="Times New Roman" w:hAnsi="Times New Roman" w:cs="Times New Roman"/>
          <w:sz w:val="28"/>
          <w:szCs w:val="28"/>
          <w:lang w:val="uk-UA"/>
        </w:rPr>
        <w:t>не існує даних</w:t>
      </w:r>
      <w:r w:rsidR="00F43A74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023792">
        <w:rPr>
          <w:rFonts w:ascii="Times New Roman" w:hAnsi="Times New Roman" w:cs="Times New Roman"/>
          <w:sz w:val="28"/>
          <w:szCs w:val="28"/>
          <w:lang w:val="uk-UA"/>
        </w:rPr>
        <w:t xml:space="preserve">кращої </w:t>
      </w:r>
      <w:r w:rsidR="004617B6"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50433C">
        <w:rPr>
          <w:rFonts w:ascii="Times New Roman" w:hAnsi="Times New Roman" w:cs="Times New Roman"/>
          <w:sz w:val="28"/>
          <w:szCs w:val="28"/>
          <w:lang w:val="uk-UA"/>
        </w:rPr>
        <w:t xml:space="preserve">ктики </w:t>
      </w:r>
      <w:r w:rsidR="00761E97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50433C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ХХН</w:t>
      </w:r>
      <w:r w:rsidR="00761E97">
        <w:rPr>
          <w:rFonts w:ascii="Times New Roman" w:hAnsi="Times New Roman" w:cs="Times New Roman"/>
          <w:sz w:val="28"/>
          <w:szCs w:val="28"/>
          <w:lang w:val="uk-UA"/>
        </w:rPr>
        <w:t xml:space="preserve"> в умовах пандемії </w:t>
      </w:r>
      <w:bookmarkStart w:id="2" w:name="_Hlk47199378"/>
      <w:bookmarkStart w:id="3" w:name="_Hlk47194290"/>
      <w:r w:rsidR="0050433C" w:rsidRPr="0050433C">
        <w:rPr>
          <w:rFonts w:ascii="Times New Roman" w:hAnsi="Times New Roman" w:cs="Times New Roman"/>
          <w:sz w:val="28"/>
          <w:szCs w:val="28"/>
          <w:lang w:val="uk-UA"/>
        </w:rPr>
        <w:t>COVID-19</w:t>
      </w:r>
      <w:bookmarkEnd w:id="2"/>
      <w:r w:rsidR="005043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End w:id="3"/>
    </w:p>
    <w:p w14:paraId="6DC30D05" w14:textId="6D0E23EE" w:rsidR="00761E97" w:rsidRDefault="0050433C" w:rsidP="004D4E7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Тим не менш, на основі існуючих досліджень з цієї проблеми, представленої провідними нирковими асоціаціями </w:t>
      </w:r>
      <w:r w:rsidR="00AB2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E97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761E97" w:rsidRPr="0050433C">
        <w:rPr>
          <w:rFonts w:ascii="Times New Roman" w:hAnsi="Times New Roman" w:cs="Times New Roman"/>
          <w:sz w:val="28"/>
          <w:szCs w:val="28"/>
          <w:lang w:val="uk-UA"/>
        </w:rPr>
        <w:t>ERA-EDTA</w:t>
      </w:r>
      <w:r w:rsidR="00761E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61E97" w:rsidRPr="00AB2B8D">
        <w:rPr>
          <w:rFonts w:ascii="Times New Roman" w:hAnsi="Times New Roman" w:cs="Times New Roman"/>
          <w:sz w:val="28"/>
          <w:szCs w:val="28"/>
          <w:lang w:val="uk-UA"/>
        </w:rPr>
        <w:t>Kidney</w:t>
      </w:r>
      <w:proofErr w:type="spellEnd"/>
      <w:r w:rsidR="00761E97" w:rsidRPr="00AB2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1E97" w:rsidRPr="00AB2B8D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="00761E97" w:rsidRPr="00AB2B8D">
        <w:rPr>
          <w:rFonts w:ascii="Times New Roman" w:hAnsi="Times New Roman" w:cs="Times New Roman"/>
          <w:sz w:val="28"/>
          <w:szCs w:val="28"/>
          <w:lang w:val="uk-UA"/>
        </w:rPr>
        <w:t xml:space="preserve"> UK, </w:t>
      </w:r>
      <w:r w:rsidR="00761E97">
        <w:rPr>
          <w:rFonts w:ascii="Times New Roman" w:hAnsi="Times New Roman" w:cs="Times New Roman"/>
          <w:sz w:val="28"/>
          <w:szCs w:val="28"/>
        </w:rPr>
        <w:t>The</w:t>
      </w:r>
      <w:r w:rsidR="00761E97" w:rsidRPr="00AB2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E97">
        <w:rPr>
          <w:rFonts w:ascii="Times New Roman" w:hAnsi="Times New Roman" w:cs="Times New Roman"/>
          <w:sz w:val="28"/>
          <w:szCs w:val="28"/>
        </w:rPr>
        <w:t>R</w:t>
      </w:r>
      <w:r w:rsidR="00342938">
        <w:rPr>
          <w:rFonts w:ascii="Times New Roman" w:hAnsi="Times New Roman" w:cs="Times New Roman"/>
          <w:sz w:val="28"/>
          <w:szCs w:val="28"/>
        </w:rPr>
        <w:t>e</w:t>
      </w:r>
      <w:r w:rsidR="00761E97">
        <w:rPr>
          <w:rFonts w:ascii="Times New Roman" w:hAnsi="Times New Roman" w:cs="Times New Roman"/>
          <w:sz w:val="28"/>
          <w:szCs w:val="28"/>
        </w:rPr>
        <w:t>nal</w:t>
      </w:r>
      <w:r w:rsidR="00761E97" w:rsidRPr="00AB2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E97">
        <w:rPr>
          <w:rFonts w:ascii="Times New Roman" w:hAnsi="Times New Roman" w:cs="Times New Roman"/>
          <w:sz w:val="28"/>
          <w:szCs w:val="28"/>
        </w:rPr>
        <w:t>Association</w:t>
      </w:r>
      <w:r w:rsidR="00761E9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23792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рекомендацій </w:t>
      </w:r>
      <w:r w:rsidR="00023792">
        <w:rPr>
          <w:rFonts w:ascii="Times New Roman" w:hAnsi="Times New Roman" w:cs="Times New Roman"/>
          <w:sz w:val="28"/>
          <w:szCs w:val="28"/>
        </w:rPr>
        <w:t>NICE</w:t>
      </w:r>
      <w:r w:rsidR="000237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17B6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власного досвіду </w:t>
      </w:r>
      <w:r w:rsidR="00761E97" w:rsidRPr="00761E97">
        <w:rPr>
          <w:rFonts w:ascii="Times New Roman" w:hAnsi="Times New Roman" w:cs="Times New Roman"/>
          <w:sz w:val="28"/>
          <w:szCs w:val="28"/>
          <w:lang w:val="uk-UA"/>
        </w:rPr>
        <w:t xml:space="preserve">експертна група Української асоціації нефрологів і фахівців з трансплантації нирки створила адаптовані клінічні рекомендації щодо </w:t>
      </w:r>
      <w:r w:rsidR="00761E97">
        <w:rPr>
          <w:rFonts w:ascii="Times New Roman" w:hAnsi="Times New Roman" w:cs="Times New Roman"/>
          <w:sz w:val="28"/>
          <w:szCs w:val="28"/>
          <w:lang w:val="uk-UA"/>
        </w:rPr>
        <w:t xml:space="preserve">ведення хворих на ХХН </w:t>
      </w:r>
      <w:r w:rsidR="00761E97">
        <w:rPr>
          <w:rFonts w:ascii="Times New Roman" w:hAnsi="Times New Roman" w:cs="Times New Roman"/>
          <w:sz w:val="28"/>
          <w:szCs w:val="28"/>
        </w:rPr>
        <w:t>I</w:t>
      </w:r>
      <w:r w:rsidR="00761E97" w:rsidRPr="00761E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61E97">
        <w:rPr>
          <w:rFonts w:ascii="Times New Roman" w:hAnsi="Times New Roman" w:cs="Times New Roman"/>
          <w:sz w:val="28"/>
          <w:szCs w:val="28"/>
        </w:rPr>
        <w:t>IV</w:t>
      </w:r>
      <w:r w:rsidR="00761E97" w:rsidRPr="0076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E97">
        <w:rPr>
          <w:rFonts w:ascii="Times New Roman" w:hAnsi="Times New Roman" w:cs="Times New Roman"/>
          <w:sz w:val="28"/>
          <w:szCs w:val="28"/>
          <w:lang w:val="uk-UA"/>
        </w:rPr>
        <w:t>стадій</w:t>
      </w:r>
      <w:r w:rsidR="00761E97" w:rsidRPr="00761E97">
        <w:rPr>
          <w:rFonts w:ascii="Times New Roman" w:hAnsi="Times New Roman" w:cs="Times New Roman"/>
          <w:sz w:val="28"/>
          <w:szCs w:val="28"/>
          <w:lang w:val="uk-UA"/>
        </w:rPr>
        <w:t xml:space="preserve"> в умовах пандемії COVID-19.</w:t>
      </w:r>
    </w:p>
    <w:p w14:paraId="61F0E2AB" w14:textId="24484F0E" w:rsidR="00477772" w:rsidRDefault="00477772" w:rsidP="004D4E7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Пропоновані </w:t>
      </w:r>
      <w:r w:rsidR="00FD2898">
        <w:rPr>
          <w:rFonts w:ascii="Times New Roman" w:hAnsi="Times New Roman" w:cs="Times New Roman"/>
          <w:sz w:val="28"/>
          <w:szCs w:val="28"/>
          <w:lang w:val="uk-UA"/>
        </w:rPr>
        <w:t xml:space="preserve">клінічні рекомендації мають на меті </w:t>
      </w:r>
      <w:r w:rsidR="00893772">
        <w:rPr>
          <w:rFonts w:ascii="Times New Roman" w:hAnsi="Times New Roman" w:cs="Times New Roman"/>
          <w:sz w:val="28"/>
          <w:szCs w:val="28"/>
          <w:lang w:val="uk-UA"/>
        </w:rPr>
        <w:t>розподілити усіх хворих</w:t>
      </w:r>
      <w:r w:rsidR="001535CB">
        <w:rPr>
          <w:rFonts w:ascii="Times New Roman" w:hAnsi="Times New Roman" w:cs="Times New Roman"/>
          <w:sz w:val="28"/>
          <w:szCs w:val="28"/>
          <w:lang w:val="uk-UA"/>
        </w:rPr>
        <w:t xml:space="preserve"> на групи ризику </w:t>
      </w:r>
      <w:r w:rsidR="001535CB" w:rsidRPr="001535CB">
        <w:rPr>
          <w:rFonts w:ascii="Times New Roman" w:hAnsi="Times New Roman" w:cs="Times New Roman"/>
          <w:sz w:val="28"/>
          <w:szCs w:val="28"/>
          <w:lang w:val="uk-UA"/>
        </w:rPr>
        <w:t>SARS-CoV-2</w:t>
      </w:r>
      <w:r w:rsidR="00313E65">
        <w:rPr>
          <w:rFonts w:ascii="Times New Roman" w:hAnsi="Times New Roman" w:cs="Times New Roman"/>
          <w:sz w:val="28"/>
          <w:szCs w:val="28"/>
          <w:lang w:val="uk-UA"/>
        </w:rPr>
        <w:t xml:space="preserve"> інфікування </w:t>
      </w:r>
      <w:r w:rsidR="00D11495">
        <w:rPr>
          <w:rFonts w:ascii="Times New Roman" w:hAnsi="Times New Roman" w:cs="Times New Roman"/>
          <w:sz w:val="28"/>
          <w:szCs w:val="28"/>
          <w:lang w:val="uk-UA"/>
        </w:rPr>
        <w:t>та показаннями до госпіталізації</w:t>
      </w:r>
      <w:r w:rsidR="00390AA2">
        <w:rPr>
          <w:rFonts w:ascii="Times New Roman" w:hAnsi="Times New Roman" w:cs="Times New Roman"/>
          <w:sz w:val="28"/>
          <w:szCs w:val="28"/>
          <w:lang w:val="uk-UA"/>
        </w:rPr>
        <w:t xml:space="preserve">. Ключовими характеристиками </w:t>
      </w:r>
      <w:r w:rsidR="00F2754C">
        <w:rPr>
          <w:rFonts w:ascii="Times New Roman" w:hAnsi="Times New Roman" w:cs="Times New Roman"/>
          <w:sz w:val="28"/>
          <w:szCs w:val="28"/>
          <w:lang w:val="uk-UA"/>
        </w:rPr>
        <w:t>кожного класу хвороб нирок є функціональний стан нирок</w:t>
      </w:r>
      <w:r w:rsidR="0098565F">
        <w:rPr>
          <w:rFonts w:ascii="Times New Roman" w:hAnsi="Times New Roman" w:cs="Times New Roman"/>
          <w:sz w:val="28"/>
          <w:szCs w:val="28"/>
          <w:lang w:val="uk-UA"/>
        </w:rPr>
        <w:t>, визначений</w:t>
      </w:r>
      <w:r w:rsidR="00A23C6D">
        <w:rPr>
          <w:rFonts w:ascii="Times New Roman" w:hAnsi="Times New Roman" w:cs="Times New Roman"/>
          <w:sz w:val="28"/>
          <w:szCs w:val="28"/>
          <w:lang w:val="uk-UA"/>
        </w:rPr>
        <w:t xml:space="preserve"> за рівнем швидкості </w:t>
      </w:r>
      <w:proofErr w:type="spellStart"/>
      <w:r w:rsidR="00A23C6D">
        <w:rPr>
          <w:rFonts w:ascii="Times New Roman" w:hAnsi="Times New Roman" w:cs="Times New Roman"/>
          <w:sz w:val="28"/>
          <w:szCs w:val="28"/>
          <w:lang w:val="uk-UA"/>
        </w:rPr>
        <w:t>клубочкової</w:t>
      </w:r>
      <w:proofErr w:type="spellEnd"/>
      <w:r w:rsidR="00A23C6D">
        <w:rPr>
          <w:rFonts w:ascii="Times New Roman" w:hAnsi="Times New Roman" w:cs="Times New Roman"/>
          <w:sz w:val="28"/>
          <w:szCs w:val="28"/>
          <w:lang w:val="uk-UA"/>
        </w:rPr>
        <w:t xml:space="preserve"> фільтрації (ШКФ)</w:t>
      </w:r>
      <w:r w:rsidR="00B71D01">
        <w:rPr>
          <w:rFonts w:ascii="Times New Roman" w:hAnsi="Times New Roman" w:cs="Times New Roman"/>
          <w:sz w:val="28"/>
          <w:szCs w:val="28"/>
          <w:lang w:val="uk-UA"/>
        </w:rPr>
        <w:t>, добова екскреція білку, рівень артеріальної гіпертензії</w:t>
      </w:r>
      <w:r w:rsidR="00444087">
        <w:rPr>
          <w:rFonts w:ascii="Times New Roman" w:hAnsi="Times New Roman" w:cs="Times New Roman"/>
          <w:sz w:val="28"/>
          <w:szCs w:val="28"/>
          <w:lang w:val="uk-UA"/>
        </w:rPr>
        <w:t>, прийом ІС лікарських засобів</w:t>
      </w:r>
      <w:r w:rsidR="0098565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44087">
        <w:rPr>
          <w:rFonts w:ascii="Times New Roman" w:hAnsi="Times New Roman" w:cs="Times New Roman"/>
          <w:sz w:val="28"/>
          <w:szCs w:val="28"/>
          <w:lang w:val="uk-UA"/>
        </w:rPr>
        <w:t>інші додаткові характеристики</w:t>
      </w:r>
      <w:r w:rsidR="008E6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384984" w14:textId="77777777" w:rsidR="00325E20" w:rsidRPr="00F71A9A" w:rsidRDefault="00325E20" w:rsidP="00325E2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5E20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325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E20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Pr="00325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E20">
        <w:rPr>
          <w:rFonts w:ascii="Times New Roman" w:hAnsi="Times New Roman" w:cs="Times New Roman"/>
          <w:sz w:val="28"/>
          <w:szCs w:val="28"/>
          <w:lang w:val="ru-RU"/>
        </w:rPr>
        <w:t>подані</w:t>
      </w:r>
      <w:proofErr w:type="spellEnd"/>
      <w:r w:rsidRPr="00325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E20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325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E20">
        <w:rPr>
          <w:rFonts w:ascii="Times New Roman" w:hAnsi="Times New Roman" w:cs="Times New Roman"/>
          <w:sz w:val="28"/>
          <w:szCs w:val="28"/>
          <w:lang w:val="ru-RU"/>
        </w:rPr>
        <w:t>клінічних</w:t>
      </w:r>
      <w:proofErr w:type="spellEnd"/>
      <w:r w:rsidRPr="00325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E20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325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E20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325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25E2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25E20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325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5E20">
        <w:rPr>
          <w:rFonts w:ascii="Times New Roman" w:hAnsi="Times New Roman" w:cs="Times New Roman"/>
          <w:sz w:val="28"/>
          <w:szCs w:val="28"/>
          <w:lang w:val="ru-RU"/>
        </w:rPr>
        <w:t>доказовості</w:t>
      </w:r>
      <w:proofErr w:type="spellEnd"/>
      <w:r w:rsidRPr="00325E20">
        <w:rPr>
          <w:rFonts w:ascii="Times New Roman" w:hAnsi="Times New Roman" w:cs="Times New Roman"/>
          <w:sz w:val="28"/>
          <w:szCs w:val="28"/>
          <w:lang w:val="ru-RU"/>
        </w:rPr>
        <w:t xml:space="preserve"> 2С.</w:t>
      </w:r>
    </w:p>
    <w:p w14:paraId="37AFDC75" w14:textId="77777777" w:rsidR="008E630C" w:rsidRDefault="008E630C" w:rsidP="0005258D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691FE7" w14:textId="77777777" w:rsidR="00325E20" w:rsidRDefault="00325E20" w:rsidP="0005258D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" w:name="_GoBack"/>
      <w:bookmarkEnd w:id="4"/>
    </w:p>
    <w:p w14:paraId="277D76AE" w14:textId="77777777" w:rsidR="008E630C" w:rsidRDefault="008E630C" w:rsidP="0005258D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AF6D69" w14:textId="0FBC8F26" w:rsidR="00D37BCE" w:rsidRPr="0005258D" w:rsidRDefault="00155DCC" w:rsidP="0042765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</w:t>
      </w:r>
      <w:r w:rsidR="00AB30E5" w:rsidRPr="0005258D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руп</w:t>
      </w:r>
      <w:r w:rsidR="00C95315" w:rsidRPr="0005258D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AB30E5" w:rsidRPr="000525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ризику </w:t>
      </w:r>
      <w:r w:rsidR="00C95315" w:rsidRPr="0005258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інфікування</w:t>
      </w:r>
      <w:r w:rsidR="00C95315" w:rsidRPr="0005258D">
        <w:rPr>
          <w:b/>
          <w:bCs/>
          <w:lang w:val="uk-UA"/>
        </w:rPr>
        <w:t xml:space="preserve"> </w:t>
      </w:r>
      <w:r w:rsidR="00C95315" w:rsidRPr="0005258D">
        <w:rPr>
          <w:rFonts w:ascii="Times New Roman" w:hAnsi="Times New Roman" w:cs="Times New Roman"/>
          <w:b/>
          <w:bCs/>
          <w:sz w:val="28"/>
          <w:szCs w:val="28"/>
          <w:lang w:val="uk-UA"/>
        </w:rPr>
        <w:t>SARS-CoV-2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хворих на ГХН або ХХН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2"/>
        <w:gridCol w:w="1926"/>
        <w:gridCol w:w="1926"/>
        <w:gridCol w:w="1926"/>
        <w:gridCol w:w="1926"/>
      </w:tblGrid>
      <w:tr w:rsidR="00A92BB9" w14:paraId="534EC455" w14:textId="77777777" w:rsidTr="00890214">
        <w:tc>
          <w:tcPr>
            <w:tcW w:w="1925" w:type="dxa"/>
            <w:vMerge w:val="restart"/>
          </w:tcPr>
          <w:p w14:paraId="26BDD115" w14:textId="516A02B0" w:rsidR="00A92BB9" w:rsidRDefault="00A92BB9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Характеристики</w:t>
            </w:r>
          </w:p>
        </w:tc>
        <w:tc>
          <w:tcPr>
            <w:tcW w:w="7704" w:type="dxa"/>
            <w:gridSpan w:val="4"/>
          </w:tcPr>
          <w:p w14:paraId="67F23E59" w14:textId="02C9335B" w:rsidR="00A92BB9" w:rsidRPr="00A92BB9" w:rsidRDefault="00A92BB9" w:rsidP="008E6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2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Ризик SARS-CoV-2 інфікування</w:t>
            </w:r>
          </w:p>
        </w:tc>
      </w:tr>
      <w:tr w:rsidR="00A92BB9" w14:paraId="55B46FBC" w14:textId="77777777" w:rsidTr="00FE78D9">
        <w:tc>
          <w:tcPr>
            <w:tcW w:w="1925" w:type="dxa"/>
            <w:vMerge/>
          </w:tcPr>
          <w:p w14:paraId="0FCECF38" w14:textId="77777777" w:rsidR="00A92BB9" w:rsidRDefault="00A92BB9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</w:tcPr>
          <w:p w14:paraId="0BF03EC2" w14:textId="5E4D02B1" w:rsidR="00A92BB9" w:rsidRDefault="00A92BB9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Низький </w:t>
            </w:r>
          </w:p>
        </w:tc>
        <w:tc>
          <w:tcPr>
            <w:tcW w:w="1926" w:type="dxa"/>
          </w:tcPr>
          <w:p w14:paraId="1AA460C9" w14:textId="4C761C99" w:rsidR="00A92BB9" w:rsidRDefault="00A92BB9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1926" w:type="dxa"/>
          </w:tcPr>
          <w:p w14:paraId="2F21BD5C" w14:textId="6953EA7F" w:rsidR="00A92BB9" w:rsidRDefault="00A92BB9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</w:t>
            </w:r>
          </w:p>
        </w:tc>
        <w:tc>
          <w:tcPr>
            <w:tcW w:w="1926" w:type="dxa"/>
          </w:tcPr>
          <w:p w14:paraId="3C6A510F" w14:textId="460F65F0" w:rsidR="00A92BB9" w:rsidRDefault="00A92BB9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462C71" w14:paraId="062F557B" w14:textId="77777777" w:rsidTr="00FE78D9">
        <w:tc>
          <w:tcPr>
            <w:tcW w:w="1925" w:type="dxa"/>
          </w:tcPr>
          <w:p w14:paraId="79712603" w14:textId="2CD032FB" w:rsidR="00462C71" w:rsidRDefault="00462C71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 пацієнтів</w:t>
            </w:r>
          </w:p>
        </w:tc>
        <w:tc>
          <w:tcPr>
            <w:tcW w:w="1926" w:type="dxa"/>
          </w:tcPr>
          <w:p w14:paraId="04CC3588" w14:textId="24B9477C" w:rsidR="00462C71" w:rsidRDefault="004E7DD5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 років</w:t>
            </w:r>
          </w:p>
        </w:tc>
        <w:tc>
          <w:tcPr>
            <w:tcW w:w="1926" w:type="dxa"/>
          </w:tcPr>
          <w:p w14:paraId="292E6060" w14:textId="11B4CC8A" w:rsidR="00462C71" w:rsidRDefault="004E7DD5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 65 років</w:t>
            </w:r>
          </w:p>
        </w:tc>
        <w:tc>
          <w:tcPr>
            <w:tcW w:w="1926" w:type="dxa"/>
          </w:tcPr>
          <w:p w14:paraId="7333FEAA" w14:textId="1EDC76BF" w:rsidR="00462C71" w:rsidRDefault="004E7DD5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 років</w:t>
            </w:r>
          </w:p>
        </w:tc>
        <w:tc>
          <w:tcPr>
            <w:tcW w:w="1926" w:type="dxa"/>
          </w:tcPr>
          <w:p w14:paraId="2CBDBE03" w14:textId="0AC452CF" w:rsidR="00462C71" w:rsidRDefault="004E7DD5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 років</w:t>
            </w:r>
          </w:p>
        </w:tc>
      </w:tr>
      <w:tr w:rsidR="00FE78D9" w14:paraId="3C9C56FB" w14:textId="77777777" w:rsidTr="00FE78D9">
        <w:tc>
          <w:tcPr>
            <w:tcW w:w="1925" w:type="dxa"/>
          </w:tcPr>
          <w:p w14:paraId="062F5D7C" w14:textId="264A6E8C" w:rsidR="00FE78D9" w:rsidRDefault="000B353F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хвороб</w:t>
            </w:r>
          </w:p>
        </w:tc>
        <w:tc>
          <w:tcPr>
            <w:tcW w:w="1926" w:type="dxa"/>
          </w:tcPr>
          <w:p w14:paraId="031021B2" w14:textId="77777777" w:rsidR="00155DCC" w:rsidRDefault="000B353F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ХХН І</w:t>
            </w:r>
            <w:r w:rsidR="0030645D" w:rsidRPr="00155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155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7BFC491" w14:textId="77777777" w:rsidR="00155DCC" w:rsidRDefault="00155DCC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ГХН О, І,</w:t>
            </w:r>
          </w:p>
          <w:p w14:paraId="62221DE2" w14:textId="4C081CE8" w:rsidR="00FE78D9" w:rsidRDefault="00155DCC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ГПН І</w:t>
            </w:r>
            <w:r w:rsidR="000B3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6" w:type="dxa"/>
          </w:tcPr>
          <w:p w14:paraId="4F8C908F" w14:textId="6FDBF760" w:rsidR="0030645D" w:rsidRDefault="00E66929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37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ХН</w:t>
            </w:r>
            <w:r w:rsidR="00155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</w:t>
            </w:r>
            <w:r w:rsidR="00037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6CD8E0BF" w14:textId="6E49CDF0" w:rsidR="00FE78D9" w:rsidRDefault="00037687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ГПН </w:t>
            </w:r>
            <w:r w:rsidR="00155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A1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1E15E03" w14:textId="382700F3" w:rsidR="006A129D" w:rsidRDefault="006A129D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ХХН ІІІ</w:t>
            </w:r>
          </w:p>
        </w:tc>
        <w:tc>
          <w:tcPr>
            <w:tcW w:w="1926" w:type="dxa"/>
          </w:tcPr>
          <w:p w14:paraId="271F1485" w14:textId="77777777" w:rsidR="00155DCC" w:rsidRDefault="00155DCC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ГХ</w:t>
            </w:r>
            <w:r w:rsidR="00037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A1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06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2D2F8A43" w14:textId="36C51F89" w:rsidR="0030645D" w:rsidRDefault="00155DCC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ГПН ІІІ,</w:t>
            </w:r>
          </w:p>
          <w:p w14:paraId="6CEB0F40" w14:textId="5FCE92CA" w:rsidR="00B3072E" w:rsidRDefault="00B3072E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ШПГН,</w:t>
            </w:r>
          </w:p>
          <w:p w14:paraId="4DE07D0B" w14:textId="4B5C40D2" w:rsidR="00FE78D9" w:rsidRPr="00841F6D" w:rsidRDefault="0030645D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ХХН</w:t>
            </w:r>
            <w:r w:rsidRPr="00841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26" w:type="dxa"/>
          </w:tcPr>
          <w:p w14:paraId="6FCC5640" w14:textId="77777777" w:rsidR="001E6A85" w:rsidRDefault="001E6A85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ГПН ІІІ,</w:t>
            </w:r>
          </w:p>
          <w:p w14:paraId="3829F4AD" w14:textId="38DF765B" w:rsidR="00FE78D9" w:rsidRPr="0030645D" w:rsidRDefault="0030645D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ХХН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FE78D9" w14:paraId="68E70ACF" w14:textId="77777777" w:rsidTr="00FE78D9">
        <w:tc>
          <w:tcPr>
            <w:tcW w:w="1925" w:type="dxa"/>
          </w:tcPr>
          <w:p w14:paraId="54C1B59F" w14:textId="6A9A3536" w:rsidR="00FE78D9" w:rsidRDefault="001E6A85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добової протеїнурії</w:t>
            </w:r>
          </w:p>
        </w:tc>
        <w:tc>
          <w:tcPr>
            <w:tcW w:w="1926" w:type="dxa"/>
          </w:tcPr>
          <w:p w14:paraId="266177D2" w14:textId="30C37AFF" w:rsidR="00FE78D9" w:rsidRDefault="00363A05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≤ 500 мг/д</w:t>
            </w:r>
          </w:p>
        </w:tc>
        <w:tc>
          <w:tcPr>
            <w:tcW w:w="1926" w:type="dxa"/>
          </w:tcPr>
          <w:p w14:paraId="043E6BB7" w14:textId="1EF5D9CA" w:rsidR="00FE78D9" w:rsidRPr="00200B55" w:rsidRDefault="00155515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51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B55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Pr="00155515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200B55">
              <w:rPr>
                <w:rFonts w:ascii="Times New Roman" w:hAnsi="Times New Roman" w:cs="Times New Roman"/>
                <w:sz w:val="28"/>
                <w:szCs w:val="28"/>
              </w:rPr>
              <w:t xml:space="preserve"> 3000 </w:t>
            </w:r>
            <w:r w:rsidR="00200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мг/д</w:t>
            </w:r>
          </w:p>
        </w:tc>
        <w:tc>
          <w:tcPr>
            <w:tcW w:w="1926" w:type="dxa"/>
          </w:tcPr>
          <w:p w14:paraId="69B6F656" w14:textId="5A477662" w:rsidR="00FE78D9" w:rsidRDefault="00EB1C76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≥ 3000 мг/д</w:t>
            </w:r>
          </w:p>
        </w:tc>
        <w:tc>
          <w:tcPr>
            <w:tcW w:w="1926" w:type="dxa"/>
          </w:tcPr>
          <w:p w14:paraId="2B153D8D" w14:textId="30C67F7B" w:rsidR="00FE78D9" w:rsidRDefault="00EB1C76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≥ </w:t>
            </w:r>
            <w:r w:rsidR="008F0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 мг/д</w:t>
            </w:r>
          </w:p>
        </w:tc>
      </w:tr>
      <w:tr w:rsidR="00105176" w:rsidRPr="00325E20" w14:paraId="6C229630" w14:textId="77777777" w:rsidTr="00FE78D9">
        <w:tc>
          <w:tcPr>
            <w:tcW w:w="1925" w:type="dxa"/>
          </w:tcPr>
          <w:p w14:paraId="02969712" w14:textId="257508D2" w:rsidR="00105176" w:rsidRDefault="00BC1770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ШКФ</w:t>
            </w:r>
          </w:p>
        </w:tc>
        <w:tc>
          <w:tcPr>
            <w:tcW w:w="1926" w:type="dxa"/>
          </w:tcPr>
          <w:p w14:paraId="662E4848" w14:textId="541ED978" w:rsidR="00105176" w:rsidRDefault="00BC1770" w:rsidP="008E6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≥ 60 мл/хв/м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стабільний рівень ШКФ протягом останніх 3-6 місяців </w:t>
            </w:r>
          </w:p>
        </w:tc>
        <w:tc>
          <w:tcPr>
            <w:tcW w:w="1926" w:type="dxa"/>
          </w:tcPr>
          <w:p w14:paraId="1897DB96" w14:textId="3B9F1DD3" w:rsidR="00105176" w:rsidRDefault="00BC1770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53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мл/хв/м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26" w:type="dxa"/>
          </w:tcPr>
          <w:p w14:paraId="14CFC36A" w14:textId="40872363" w:rsidR="00105176" w:rsidRPr="00505116" w:rsidRDefault="00534EAA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мл/хв/м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26" w:type="dxa"/>
          </w:tcPr>
          <w:p w14:paraId="645A5357" w14:textId="77777777" w:rsidR="00105176" w:rsidRDefault="00534EAA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53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мл/хв/м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14:paraId="01887CA6" w14:textId="6C859A79" w:rsidR="00534EAA" w:rsidRDefault="00534EAA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НЗТ</w:t>
            </w:r>
          </w:p>
        </w:tc>
      </w:tr>
      <w:tr w:rsidR="00105176" w14:paraId="32537DC7" w14:textId="77777777" w:rsidTr="00FE78D9">
        <w:tc>
          <w:tcPr>
            <w:tcW w:w="1925" w:type="dxa"/>
          </w:tcPr>
          <w:p w14:paraId="05E89DE3" w14:textId="131055DE" w:rsidR="00105176" w:rsidRDefault="00F63B7C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Артеріальна гіпертензія</w:t>
            </w:r>
          </w:p>
        </w:tc>
        <w:tc>
          <w:tcPr>
            <w:tcW w:w="1926" w:type="dxa"/>
          </w:tcPr>
          <w:p w14:paraId="47FDC270" w14:textId="7320E063" w:rsidR="00105176" w:rsidRDefault="00462C71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926" w:type="dxa"/>
          </w:tcPr>
          <w:p w14:paraId="6D192CA2" w14:textId="6E09DFAF" w:rsidR="00105176" w:rsidRDefault="00462C71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926" w:type="dxa"/>
          </w:tcPr>
          <w:p w14:paraId="79D23CE8" w14:textId="55BE1B37" w:rsidR="00105176" w:rsidRDefault="00462C71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926" w:type="dxa"/>
          </w:tcPr>
          <w:p w14:paraId="11778C71" w14:textId="1C089D03" w:rsidR="00105176" w:rsidRDefault="00462C71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E03A4F" w14:paraId="6E1B91E2" w14:textId="77777777" w:rsidTr="00D31C4F">
        <w:tc>
          <w:tcPr>
            <w:tcW w:w="1925" w:type="dxa"/>
          </w:tcPr>
          <w:p w14:paraId="480D1402" w14:textId="02394D55" w:rsidR="00E03A4F" w:rsidRDefault="00E03A4F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 терапія</w:t>
            </w:r>
          </w:p>
        </w:tc>
        <w:tc>
          <w:tcPr>
            <w:tcW w:w="1926" w:type="dxa"/>
          </w:tcPr>
          <w:p w14:paraId="38C56CF7" w14:textId="6A018915" w:rsidR="00E03A4F" w:rsidRDefault="00E03A4F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1926" w:type="dxa"/>
          </w:tcPr>
          <w:p w14:paraId="547B0511" w14:textId="77777777" w:rsidR="00E03A4F" w:rsidRDefault="00E03A4F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Преднізолон</w:t>
            </w:r>
          </w:p>
          <w:p w14:paraId="08F20A36" w14:textId="0F47A667" w:rsidR="00E03A4F" w:rsidRDefault="00E03A4F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мг/д</w:t>
            </w:r>
          </w:p>
        </w:tc>
        <w:tc>
          <w:tcPr>
            <w:tcW w:w="3852" w:type="dxa"/>
            <w:gridSpan w:val="2"/>
          </w:tcPr>
          <w:p w14:paraId="558C3BD6" w14:textId="2BBDD01F" w:rsidR="00E03A4F" w:rsidRDefault="00E03A4F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Преднізолон </w:t>
            </w:r>
            <w:r w:rsidRPr="005F4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≥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мг/д</w:t>
            </w:r>
            <w:r w:rsidR="00E45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BE5ED03" w14:textId="4FB3AE2D" w:rsidR="00E45DFA" w:rsidRDefault="00E45DFA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Азатіоприн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B2DC9EB" w14:textId="3CC26FD8" w:rsidR="00E45DFA" w:rsidRDefault="00D33033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45DFA" w:rsidRPr="00E45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офетилу</w:t>
            </w:r>
            <w:proofErr w:type="spellEnd"/>
            <w:r w:rsidR="00E45DFA" w:rsidRPr="00E45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5DFA" w:rsidRPr="00E45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мікофенолат</w:t>
            </w:r>
            <w:proofErr w:type="spellEnd"/>
            <w:r w:rsidR="00E45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A497E80" w14:textId="24379FC1" w:rsidR="00D33033" w:rsidRDefault="00D33033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Циклофосфамід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4F86285" w14:textId="14F1CC9E" w:rsidR="00D33033" w:rsidRDefault="00D33033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Циклоспорин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B4378AE" w14:textId="162361BB" w:rsidR="00462765" w:rsidRDefault="00462765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Такролімус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8569EEC" w14:textId="46C93536" w:rsidR="00E03A4F" w:rsidRDefault="00462765" w:rsidP="008E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Ритуксимаб</w:t>
            </w:r>
            <w:proofErr w:type="spellEnd"/>
          </w:p>
        </w:tc>
      </w:tr>
    </w:tbl>
    <w:p w14:paraId="6ED7683B" w14:textId="6B69A480" w:rsidR="00FE1CAE" w:rsidRDefault="00F944C5" w:rsidP="00F944C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*ГХН – гостра хвороба нирок (ШПГН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швидкопрогресуючий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гломерулонефрит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ГПН – гостре пошкодження нирок)</w:t>
      </w:r>
      <w:r w:rsidR="00F615B5">
        <w:rPr>
          <w:rFonts w:ascii="Times New Roman" w:hAnsi="Times New Roman" w:cs="Times New Roman"/>
          <w:sz w:val="28"/>
          <w:szCs w:val="28"/>
          <w:lang w:val="uk-UA"/>
        </w:rPr>
        <w:t>, ХХН – хронічна хвороба нирок.</w:t>
      </w:r>
    </w:p>
    <w:p w14:paraId="36A7E4D9" w14:textId="53AD354A" w:rsidR="00F944C5" w:rsidRPr="00F944C5" w:rsidRDefault="00F944C5" w:rsidP="00F944C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C6A388" w14:textId="109D4036" w:rsidR="00F43A74" w:rsidRPr="00761E97" w:rsidRDefault="00ED0570" w:rsidP="004D4E7D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Комунікація з хворими на ХХН </w:t>
      </w:r>
      <w:r w:rsidR="008D31E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усіх</w:t>
      </w:r>
      <w:r w:rsidR="008D31E0" w:rsidRPr="00761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D31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груп ризику </w:t>
      </w:r>
      <w:r w:rsidR="000A18F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 пандемії</w:t>
      </w:r>
      <w:r w:rsidR="002E2BE5" w:rsidRPr="00761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COVID-19.</w:t>
      </w:r>
    </w:p>
    <w:p w14:paraId="577C7B3C" w14:textId="77777777" w:rsidR="004D4E7D" w:rsidRDefault="004D4E7D" w:rsidP="00615BD2">
      <w:pPr>
        <w:pStyle w:val="a3"/>
        <w:spacing w:after="12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909D0A" w14:textId="1003BE6C" w:rsidR="003218F3" w:rsidRDefault="002B7F9E" w:rsidP="00615BD2">
      <w:pPr>
        <w:pStyle w:val="a3"/>
        <w:numPr>
          <w:ilvl w:val="1"/>
          <w:numId w:val="1"/>
        </w:numPr>
        <w:spacing w:after="12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Мінімізуйте контакт віч-на-віч з пацієнтами та використовуйте </w:t>
      </w:r>
      <w:r w:rsidR="003218F3">
        <w:rPr>
          <w:rFonts w:ascii="Times New Roman" w:hAnsi="Times New Roman" w:cs="Times New Roman"/>
          <w:sz w:val="28"/>
          <w:szCs w:val="28"/>
          <w:lang w:val="uk-UA"/>
        </w:rPr>
        <w:t xml:space="preserve">для консультацій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телефонний зв'язок, відео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імейл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це можливо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E56639" w14:textId="1AAFE797" w:rsidR="00E15FA3" w:rsidRDefault="00E15FA3" w:rsidP="00615BD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Порадьте пацієнтам мінімізувати візити до клініки та записуватись на консультацію у телефонному режимі або </w:t>
      </w:r>
      <w:r w:rsidR="0023257F">
        <w:rPr>
          <w:rFonts w:ascii="Times New Roman" w:hAnsi="Times New Roman" w:cs="Times New Roman"/>
          <w:sz w:val="28"/>
          <w:szCs w:val="28"/>
          <w:lang w:val="uk-UA"/>
        </w:rPr>
        <w:t>елект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ронною поштою на конкретний час.</w:t>
      </w:r>
    </w:p>
    <w:p w14:paraId="6E8F4729" w14:textId="5F7058A9" w:rsidR="0023257F" w:rsidRDefault="002B7F9E" w:rsidP="00615BD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Влаштовуйте свій консультативний прийом таким чином, щоб хворі на ХХН, які отримують </w:t>
      </w:r>
      <w:r w:rsidR="00792159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терапію, відвідували кабінет першими</w:t>
      </w:r>
      <w:r w:rsidR="003218F3">
        <w:rPr>
          <w:rFonts w:ascii="Times New Roman" w:hAnsi="Times New Roman" w:cs="Times New Roman"/>
          <w:sz w:val="28"/>
          <w:szCs w:val="28"/>
          <w:lang w:val="uk-UA"/>
        </w:rPr>
        <w:t xml:space="preserve"> та не стикались з іншими </w:t>
      </w:r>
      <w:r w:rsidR="00342938">
        <w:rPr>
          <w:rFonts w:ascii="Times New Roman" w:hAnsi="Times New Roman" w:cs="Times New Roman"/>
          <w:sz w:val="28"/>
          <w:szCs w:val="28"/>
          <w:lang w:val="uk-UA"/>
        </w:rPr>
        <w:t xml:space="preserve">пацієнтами </w:t>
      </w:r>
      <w:r w:rsidR="003218F3">
        <w:rPr>
          <w:rFonts w:ascii="Times New Roman" w:hAnsi="Times New Roman" w:cs="Times New Roman"/>
          <w:sz w:val="28"/>
          <w:szCs w:val="28"/>
          <w:lang w:val="uk-UA"/>
        </w:rPr>
        <w:t>під час очікування консультації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A9E16A" w14:textId="2D2570DD" w:rsidR="00CD4454" w:rsidRDefault="00CD4454" w:rsidP="00615BD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Дотримуйтесь </w:t>
      </w:r>
      <w:r w:rsidR="00342938">
        <w:rPr>
          <w:rFonts w:ascii="Times New Roman" w:hAnsi="Times New Roman" w:cs="Times New Roman"/>
          <w:sz w:val="28"/>
          <w:szCs w:val="28"/>
          <w:lang w:val="uk-UA"/>
        </w:rPr>
        <w:t xml:space="preserve">свого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розкладу та порадьте пацієнтам не приїжджати раніше запланованого часу. Попередьте наступного пацієнта за телефоном коли Ви вже готові його </w:t>
      </w:r>
      <w:r w:rsidR="00B92C8A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>
        <w:rPr>
          <w:rFonts w:ascii="Times New Roman" w:hAnsi="Times New Roman" w:cs="Times New Roman"/>
          <w:sz w:val="28"/>
          <w:szCs w:val="28"/>
          <w:lang w:val="uk-UA"/>
        </w:rPr>
        <w:t>, наприклад, у разі очікування на вулиці або у автомобілі та запровадьте «чисту дорогу» до консультативного кабінету;</w:t>
      </w:r>
    </w:p>
    <w:p w14:paraId="55395A2D" w14:textId="2428F0E0" w:rsidR="0023257F" w:rsidRDefault="0023257F" w:rsidP="00615BD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Рекомендуйте пацієнтам тримати </w:t>
      </w:r>
      <w:r w:rsidR="002B7F9E">
        <w:rPr>
          <w:rFonts w:ascii="Times New Roman" w:hAnsi="Times New Roman" w:cs="Times New Roman"/>
          <w:sz w:val="28"/>
          <w:szCs w:val="28"/>
          <w:lang w:val="uk-UA"/>
        </w:rPr>
        <w:t xml:space="preserve">певний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запас необхідних їм лікарських засобів </w:t>
      </w:r>
      <w:r w:rsidR="002B7F9E">
        <w:rPr>
          <w:rFonts w:ascii="Times New Roman" w:hAnsi="Times New Roman" w:cs="Times New Roman"/>
          <w:sz w:val="28"/>
          <w:szCs w:val="28"/>
          <w:lang w:val="uk-UA"/>
        </w:rPr>
        <w:t>вдома</w:t>
      </w:r>
      <w:r w:rsidR="003218F3">
        <w:rPr>
          <w:rFonts w:ascii="Times New Roman" w:hAnsi="Times New Roman" w:cs="Times New Roman"/>
          <w:sz w:val="28"/>
          <w:szCs w:val="28"/>
          <w:lang w:val="uk-UA"/>
        </w:rPr>
        <w:t>. Порадьте хворим використовувати усі можливі способи дос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тавки лікарських засобів додому.</w:t>
      </w:r>
    </w:p>
    <w:p w14:paraId="144552CE" w14:textId="087C68F2" w:rsidR="003218F3" w:rsidRDefault="003218F3" w:rsidP="00615BD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необхідності консультації віч-на-віч, порадьте пацієнту уникати публічного транспорту та мати не більше однієї супроводжуючої особи, якщо не може приїхати сам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86763D" w14:textId="5BAEC95E" w:rsidR="00A756DE" w:rsidRDefault="00A756DE" w:rsidP="00615BD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6DE">
        <w:rPr>
          <w:rFonts w:ascii="Times New Roman" w:hAnsi="Times New Roman" w:cs="Times New Roman"/>
          <w:sz w:val="28"/>
          <w:szCs w:val="28"/>
          <w:lang w:val="uk-UA"/>
        </w:rPr>
        <w:t xml:space="preserve">Відтермінуйте амбулаторні візити, якщо клінічна потреба не є нагальною, наприклад, якщо у пацієнта спостерігається легка або помірна протеїнурія без негативної динаміки </w:t>
      </w:r>
      <w:r w:rsidR="00D56A96">
        <w:rPr>
          <w:rFonts w:ascii="Times New Roman" w:hAnsi="Times New Roman" w:cs="Times New Roman"/>
          <w:sz w:val="28"/>
          <w:szCs w:val="28"/>
          <w:lang w:val="uk-UA"/>
        </w:rPr>
        <w:t xml:space="preserve">швидкості </w:t>
      </w:r>
      <w:proofErr w:type="spellStart"/>
      <w:r w:rsidR="00D56A96">
        <w:rPr>
          <w:rFonts w:ascii="Times New Roman" w:hAnsi="Times New Roman" w:cs="Times New Roman"/>
          <w:sz w:val="28"/>
          <w:szCs w:val="28"/>
          <w:lang w:val="uk-UA"/>
        </w:rPr>
        <w:t>клубочкової</w:t>
      </w:r>
      <w:proofErr w:type="spellEnd"/>
      <w:r w:rsidR="00D56A96">
        <w:rPr>
          <w:rFonts w:ascii="Times New Roman" w:hAnsi="Times New Roman" w:cs="Times New Roman"/>
          <w:sz w:val="28"/>
          <w:szCs w:val="28"/>
          <w:lang w:val="uk-UA"/>
        </w:rPr>
        <w:t xml:space="preserve"> фільтрації (</w:t>
      </w:r>
      <w:r w:rsidRPr="00A756DE">
        <w:rPr>
          <w:rFonts w:ascii="Times New Roman" w:hAnsi="Times New Roman" w:cs="Times New Roman"/>
          <w:sz w:val="28"/>
          <w:szCs w:val="28"/>
          <w:lang w:val="uk-UA"/>
        </w:rPr>
        <w:t>ШКФ</w:t>
      </w:r>
      <w:r w:rsidR="00D56A9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72CDFD" w14:textId="43264286" w:rsidR="00AB2B8D" w:rsidRPr="00AB2B8D" w:rsidRDefault="00AB2B8D" w:rsidP="00615BD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Заохочуйте пацієнтів проводити </w:t>
      </w:r>
      <w:r w:rsidRPr="00AB2B8D">
        <w:rPr>
          <w:rFonts w:ascii="Times New Roman" w:hAnsi="Times New Roman" w:cs="Times New Roman"/>
          <w:sz w:val="28"/>
          <w:szCs w:val="28"/>
          <w:lang w:val="uk-UA"/>
        </w:rPr>
        <w:t>рекомендовані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щеплення</w:t>
      </w:r>
      <w:r w:rsidRPr="00AB2B8D">
        <w:rPr>
          <w:rFonts w:ascii="Times New Roman" w:hAnsi="Times New Roman" w:cs="Times New Roman"/>
          <w:sz w:val="28"/>
          <w:szCs w:val="28"/>
          <w:lang w:val="uk-UA"/>
        </w:rPr>
        <w:t xml:space="preserve"> проти грипу та пневмококу (PCV13 та PPSV23)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профілактики 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конфекції.</w:t>
      </w:r>
    </w:p>
    <w:p w14:paraId="3E5535DB" w14:textId="77777777" w:rsidR="003218F3" w:rsidRDefault="003218F3" w:rsidP="00CD4454">
      <w:pPr>
        <w:spacing w:after="0"/>
        <w:ind w:left="2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FEF51" w14:textId="0A19CFF6" w:rsidR="002E2BE5" w:rsidRPr="00761E97" w:rsidRDefault="00DD4DF6" w:rsidP="006718D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E9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амбулаторного обстеження та м</w:t>
      </w:r>
      <w:r w:rsidR="004D4E7D" w:rsidRPr="00761E9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оніторинг</w:t>
      </w:r>
      <w:r w:rsidRPr="00761E97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4D4E7D" w:rsidRPr="00761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хворих на ХХН</w:t>
      </w:r>
      <w:r w:rsidRPr="00761E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умовах пандемії COVID-19</w:t>
      </w:r>
      <w:r w:rsidR="00427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залежно від </w:t>
      </w:r>
      <w:r w:rsidR="00F047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групи </w:t>
      </w:r>
      <w:r w:rsidR="00427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ризику інфікування</w:t>
      </w:r>
      <w:r w:rsidR="00427650" w:rsidRPr="00484680">
        <w:rPr>
          <w:lang w:val="uk-UA"/>
        </w:rPr>
        <w:t xml:space="preserve"> </w:t>
      </w:r>
      <w:r w:rsidR="00427650" w:rsidRPr="00427650">
        <w:rPr>
          <w:rFonts w:ascii="Times New Roman" w:hAnsi="Times New Roman" w:cs="Times New Roman"/>
          <w:b/>
          <w:bCs/>
          <w:sz w:val="28"/>
          <w:szCs w:val="28"/>
          <w:lang w:val="uk-UA"/>
        </w:rPr>
        <w:t>SARS-CoV-2</w:t>
      </w:r>
      <w:r w:rsidR="00681A7B" w:rsidRPr="00761E9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68CF1AF" w14:textId="77777777" w:rsidR="00A756DE" w:rsidRDefault="00A756DE" w:rsidP="008B29D5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8EC180" w14:textId="445505F0" w:rsidR="004D4E7D" w:rsidRPr="00615BD2" w:rsidRDefault="004D4E7D" w:rsidP="00615BD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BD2">
        <w:rPr>
          <w:rFonts w:ascii="Times New Roman" w:hAnsi="Times New Roman" w:cs="Times New Roman"/>
          <w:sz w:val="28"/>
          <w:szCs w:val="28"/>
          <w:lang w:val="uk-UA"/>
        </w:rPr>
        <w:t>Оцініть можливість зменшення частоти рутинних аналізів під час пандемії COVID-19 для стабільних пацієнтів</w:t>
      </w:r>
      <w:r w:rsidR="00CA462D">
        <w:rPr>
          <w:rFonts w:ascii="Times New Roman" w:hAnsi="Times New Roman" w:cs="Times New Roman"/>
          <w:sz w:val="28"/>
          <w:szCs w:val="28"/>
          <w:lang w:val="uk-UA"/>
        </w:rPr>
        <w:t xml:space="preserve"> низької та середньої груп ризику.</w:t>
      </w:r>
      <w:r w:rsidRPr="00615BD2">
        <w:rPr>
          <w:rFonts w:ascii="Times New Roman" w:hAnsi="Times New Roman" w:cs="Times New Roman"/>
          <w:sz w:val="28"/>
          <w:szCs w:val="28"/>
          <w:lang w:val="uk-UA"/>
        </w:rPr>
        <w:t xml:space="preserve"> Враховуйте будь-які супутні захворювання та темп прогресування ХХН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A2275D" w14:textId="72BADCBD" w:rsidR="004D4E7D" w:rsidRDefault="004D4E7D" w:rsidP="00615BD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E7D">
        <w:rPr>
          <w:rFonts w:ascii="Times New Roman" w:hAnsi="Times New Roman" w:cs="Times New Roman"/>
          <w:sz w:val="28"/>
          <w:szCs w:val="28"/>
          <w:lang w:val="uk-UA"/>
        </w:rPr>
        <w:t>Заохочуйте самоконтроль (включаючи моніторинг артеріального тиску) для пацієнтів</w:t>
      </w:r>
      <w:r w:rsidR="00484680">
        <w:rPr>
          <w:rFonts w:ascii="Times New Roman" w:hAnsi="Times New Roman" w:cs="Times New Roman"/>
          <w:sz w:val="28"/>
          <w:szCs w:val="28"/>
          <w:lang w:val="uk-UA"/>
        </w:rPr>
        <w:t xml:space="preserve"> усіх груп ризику</w:t>
      </w:r>
      <w:r w:rsidRPr="004D4E7D">
        <w:rPr>
          <w:rFonts w:ascii="Times New Roman" w:hAnsi="Times New Roman" w:cs="Times New Roman"/>
          <w:sz w:val="28"/>
          <w:szCs w:val="28"/>
          <w:lang w:val="uk-UA"/>
        </w:rPr>
        <w:t>, які здатні це зробити.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E7D">
        <w:rPr>
          <w:rFonts w:ascii="Times New Roman" w:hAnsi="Times New Roman" w:cs="Times New Roman"/>
          <w:sz w:val="28"/>
          <w:szCs w:val="28"/>
          <w:lang w:val="uk-UA"/>
        </w:rPr>
        <w:t>Переконайтесь, що пацієнти, які здійснюють самоконтроль, знають, коли та до кого їм слід звернутися за допомогою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CCE8C9" w14:textId="1173A05A" w:rsidR="007D2955" w:rsidRPr="00615BD2" w:rsidRDefault="007D2955" w:rsidP="00615BD2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BD2">
        <w:rPr>
          <w:rFonts w:ascii="Times New Roman" w:hAnsi="Times New Roman" w:cs="Times New Roman"/>
          <w:sz w:val="28"/>
          <w:szCs w:val="28"/>
          <w:lang w:val="uk-UA"/>
        </w:rPr>
        <w:t xml:space="preserve">Направляйте </w:t>
      </w:r>
      <w:r w:rsidR="00F615B5">
        <w:rPr>
          <w:rFonts w:ascii="Times New Roman" w:hAnsi="Times New Roman" w:cs="Times New Roman"/>
          <w:sz w:val="28"/>
          <w:szCs w:val="28"/>
          <w:lang w:val="uk-UA"/>
        </w:rPr>
        <w:t>пацієнтів середньої,</w:t>
      </w:r>
      <w:r w:rsidR="00360B90">
        <w:rPr>
          <w:rFonts w:ascii="Times New Roman" w:hAnsi="Times New Roman" w:cs="Times New Roman"/>
          <w:sz w:val="28"/>
          <w:szCs w:val="28"/>
          <w:lang w:val="uk-UA"/>
        </w:rPr>
        <w:t xml:space="preserve"> високої та дуже високої груп ризику</w:t>
      </w:r>
      <w:r w:rsidRPr="00615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0F1" w:rsidRPr="008010F1">
        <w:rPr>
          <w:rFonts w:ascii="Times New Roman" w:hAnsi="Times New Roman" w:cs="Times New Roman"/>
          <w:sz w:val="28"/>
          <w:szCs w:val="28"/>
          <w:lang w:val="uk-UA"/>
        </w:rPr>
        <w:t xml:space="preserve">COVID-19 </w:t>
      </w:r>
      <w:r w:rsidRPr="00615BD2">
        <w:rPr>
          <w:rFonts w:ascii="Times New Roman" w:hAnsi="Times New Roman" w:cs="Times New Roman"/>
          <w:sz w:val="28"/>
          <w:szCs w:val="28"/>
          <w:lang w:val="uk-UA"/>
        </w:rPr>
        <w:t xml:space="preserve">для термінової консультації у разі: </w:t>
      </w:r>
    </w:p>
    <w:p w14:paraId="6B0B443A" w14:textId="5BF58546" w:rsidR="007D2955" w:rsidRDefault="007D2955" w:rsidP="00E726E7">
      <w:pPr>
        <w:pStyle w:val="a3"/>
        <w:numPr>
          <w:ilvl w:val="0"/>
          <w:numId w:val="2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955">
        <w:rPr>
          <w:rFonts w:ascii="Times New Roman" w:hAnsi="Times New Roman" w:cs="Times New Roman"/>
          <w:sz w:val="28"/>
          <w:szCs w:val="28"/>
          <w:lang w:val="uk-UA"/>
        </w:rPr>
        <w:t xml:space="preserve">зниження ШКФ </w:t>
      </w:r>
      <w:r w:rsidR="00F615B5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Pr="007D2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5B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D2955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F615B5">
        <w:rPr>
          <w:rFonts w:ascii="Times New Roman" w:hAnsi="Times New Roman" w:cs="Times New Roman"/>
          <w:sz w:val="28"/>
          <w:szCs w:val="28"/>
          <w:lang w:val="uk-UA"/>
        </w:rPr>
        <w:t>у хворого на ХХН порівняно з базовим рівнем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31182C3" w14:textId="717068CA" w:rsidR="007D2955" w:rsidRDefault="00174C4D" w:rsidP="00E726E7">
      <w:pPr>
        <w:pStyle w:val="a3"/>
        <w:numPr>
          <w:ilvl w:val="0"/>
          <w:numId w:val="2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="007D2955" w:rsidRPr="007D2955">
        <w:rPr>
          <w:rFonts w:ascii="Times New Roman" w:hAnsi="Times New Roman" w:cs="Times New Roman"/>
          <w:sz w:val="28"/>
          <w:szCs w:val="28"/>
          <w:lang w:val="uk-UA"/>
        </w:rPr>
        <w:t>нефротичн</w:t>
      </w:r>
      <w:r w:rsidR="007D2955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7D2955" w:rsidRPr="007D2955">
        <w:rPr>
          <w:rFonts w:ascii="Times New Roman" w:hAnsi="Times New Roman" w:cs="Times New Roman"/>
          <w:sz w:val="28"/>
          <w:szCs w:val="28"/>
          <w:lang w:val="uk-UA"/>
        </w:rPr>
        <w:t xml:space="preserve"> синдром</w:t>
      </w:r>
      <w:r w:rsidR="007D2955">
        <w:rPr>
          <w:rFonts w:ascii="Times New Roman" w:hAnsi="Times New Roman" w:cs="Times New Roman"/>
          <w:sz w:val="28"/>
          <w:szCs w:val="28"/>
          <w:lang w:val="uk-UA"/>
        </w:rPr>
        <w:t>у,</w:t>
      </w:r>
    </w:p>
    <w:p w14:paraId="7506BB4C" w14:textId="6A456112" w:rsidR="00F615B5" w:rsidRDefault="007D6B7A" w:rsidP="00E726E7">
      <w:pPr>
        <w:pStyle w:val="a3"/>
        <w:numPr>
          <w:ilvl w:val="0"/>
          <w:numId w:val="2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615B5">
        <w:rPr>
          <w:rFonts w:ascii="Times New Roman" w:hAnsi="Times New Roman" w:cs="Times New Roman"/>
          <w:sz w:val="28"/>
          <w:szCs w:val="28"/>
          <w:lang w:val="uk-UA"/>
        </w:rPr>
        <w:t>коригованої</w:t>
      </w:r>
      <w:proofErr w:type="spellEnd"/>
      <w:r w:rsidR="00F615B5">
        <w:rPr>
          <w:rFonts w:ascii="Times New Roman" w:hAnsi="Times New Roman" w:cs="Times New Roman"/>
          <w:sz w:val="28"/>
          <w:szCs w:val="28"/>
          <w:lang w:val="uk-UA"/>
        </w:rPr>
        <w:t xml:space="preserve"> гіпертензії,</w:t>
      </w:r>
    </w:p>
    <w:p w14:paraId="11D258E5" w14:textId="4AEFA09D" w:rsidR="007D2955" w:rsidRDefault="007D2955" w:rsidP="00E726E7">
      <w:pPr>
        <w:pStyle w:val="a3"/>
        <w:numPr>
          <w:ilvl w:val="0"/>
          <w:numId w:val="2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ознак </w:t>
      </w:r>
      <w:r w:rsidRPr="007D2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5B5">
        <w:rPr>
          <w:rFonts w:ascii="Times New Roman" w:hAnsi="Times New Roman" w:cs="Times New Roman"/>
          <w:sz w:val="28"/>
          <w:szCs w:val="28"/>
          <w:lang w:val="uk-UA"/>
        </w:rPr>
        <w:t>ГХН</w:t>
      </w:r>
      <w:r w:rsidR="006228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15B5">
        <w:rPr>
          <w:rFonts w:ascii="Times New Roman" w:hAnsi="Times New Roman" w:cs="Times New Roman"/>
          <w:sz w:val="28"/>
          <w:szCs w:val="28"/>
          <w:lang w:val="uk-UA"/>
        </w:rPr>
        <w:t>ГПН</w:t>
      </w:r>
      <w:r w:rsidR="006228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15B5">
        <w:rPr>
          <w:rFonts w:ascii="Times New Roman" w:hAnsi="Times New Roman" w:cs="Times New Roman"/>
          <w:sz w:val="28"/>
          <w:szCs w:val="28"/>
          <w:lang w:val="uk-UA"/>
        </w:rPr>
        <w:t>ШПГН.</w:t>
      </w:r>
    </w:p>
    <w:p w14:paraId="4DA90BCD" w14:textId="0CF8A37F" w:rsidR="007D2955" w:rsidRPr="007D2955" w:rsidRDefault="00E726E7" w:rsidP="00615BD2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7D295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D2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B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2955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D2955" w:rsidRPr="007D2955">
        <w:rPr>
          <w:rFonts w:ascii="Times New Roman" w:hAnsi="Times New Roman" w:cs="Times New Roman"/>
          <w:sz w:val="28"/>
          <w:szCs w:val="28"/>
          <w:lang w:val="uk-UA"/>
        </w:rPr>
        <w:t xml:space="preserve"> направл</w:t>
      </w:r>
      <w:r w:rsidR="007D2955">
        <w:rPr>
          <w:rFonts w:ascii="Times New Roman" w:hAnsi="Times New Roman" w:cs="Times New Roman"/>
          <w:sz w:val="28"/>
          <w:szCs w:val="28"/>
          <w:lang w:val="uk-UA"/>
        </w:rPr>
        <w:t>яйте пацієнт</w:t>
      </w:r>
      <w:r w:rsidR="00E5438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D2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55" w:rsidRPr="007D2955">
        <w:rPr>
          <w:rFonts w:ascii="Times New Roman" w:hAnsi="Times New Roman" w:cs="Times New Roman"/>
          <w:sz w:val="28"/>
          <w:szCs w:val="28"/>
          <w:lang w:val="uk-UA"/>
        </w:rPr>
        <w:t xml:space="preserve">на УЗД нирок, якщо результат навряд чи змінить </w:t>
      </w:r>
      <w:r w:rsidR="008337A6">
        <w:rPr>
          <w:rFonts w:ascii="Times New Roman" w:hAnsi="Times New Roman" w:cs="Times New Roman"/>
          <w:sz w:val="28"/>
          <w:szCs w:val="28"/>
          <w:lang w:val="uk-UA"/>
        </w:rPr>
        <w:t xml:space="preserve">подальшу </w:t>
      </w:r>
      <w:r w:rsidR="007D2955">
        <w:rPr>
          <w:rFonts w:ascii="Times New Roman" w:hAnsi="Times New Roman" w:cs="Times New Roman"/>
          <w:sz w:val="28"/>
          <w:szCs w:val="28"/>
          <w:lang w:val="uk-UA"/>
        </w:rPr>
        <w:t>тактику лікування</w:t>
      </w:r>
      <w:r w:rsidR="008337A6">
        <w:rPr>
          <w:rFonts w:ascii="Times New Roman" w:hAnsi="Times New Roman" w:cs="Times New Roman"/>
          <w:sz w:val="28"/>
          <w:szCs w:val="28"/>
          <w:lang w:val="uk-UA"/>
        </w:rPr>
        <w:t xml:space="preserve">. УЗД в умовах пандемії </w:t>
      </w:r>
      <w:r w:rsidR="008337A6" w:rsidRPr="008337A6">
        <w:rPr>
          <w:rFonts w:ascii="Times New Roman" w:hAnsi="Times New Roman" w:cs="Times New Roman"/>
          <w:sz w:val="28"/>
          <w:szCs w:val="28"/>
          <w:lang w:val="uk-UA"/>
        </w:rPr>
        <w:t xml:space="preserve">COVID-19 </w:t>
      </w:r>
      <w:r w:rsidR="008337A6">
        <w:rPr>
          <w:rFonts w:ascii="Times New Roman" w:hAnsi="Times New Roman" w:cs="Times New Roman"/>
          <w:sz w:val="28"/>
          <w:szCs w:val="28"/>
          <w:lang w:val="uk-UA"/>
        </w:rPr>
        <w:t xml:space="preserve">потребують пацієнти </w:t>
      </w:r>
      <w:r w:rsidR="00E32323" w:rsidRPr="00E32323">
        <w:rPr>
          <w:rFonts w:ascii="Times New Roman" w:hAnsi="Times New Roman" w:cs="Times New Roman"/>
          <w:sz w:val="28"/>
          <w:szCs w:val="28"/>
          <w:lang w:val="uk-UA"/>
        </w:rPr>
        <w:t xml:space="preserve">високої та дуже високої груп ризику COVID-19 </w:t>
      </w:r>
      <w:r w:rsidR="00621A78" w:rsidRPr="00621A78">
        <w:rPr>
          <w:rFonts w:ascii="Times New Roman" w:hAnsi="Times New Roman" w:cs="Times New Roman"/>
          <w:sz w:val="28"/>
          <w:szCs w:val="28"/>
          <w:lang w:val="uk-UA"/>
        </w:rPr>
        <w:t xml:space="preserve">або незалежно від групи ризику у разі: </w:t>
      </w:r>
    </w:p>
    <w:p w14:paraId="6936A3AB" w14:textId="2F526ABB" w:rsidR="007D2955" w:rsidRPr="007D2955" w:rsidRDefault="008337A6" w:rsidP="00615BD2">
      <w:pPr>
        <w:pStyle w:val="a3"/>
        <w:numPr>
          <w:ilvl w:val="0"/>
          <w:numId w:val="4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</w:t>
      </w:r>
      <w:r w:rsidR="00621A78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прогресування ХХН,</w:t>
      </w:r>
    </w:p>
    <w:p w14:paraId="7031BC0C" w14:textId="3A106FD1" w:rsidR="007D2955" w:rsidRPr="008337A6" w:rsidRDefault="00621A78" w:rsidP="00615BD2">
      <w:pPr>
        <w:pStyle w:val="a3"/>
        <w:numPr>
          <w:ilvl w:val="0"/>
          <w:numId w:val="4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r w:rsidR="008337A6">
        <w:rPr>
          <w:rFonts w:ascii="Times New Roman" w:hAnsi="Times New Roman" w:cs="Times New Roman"/>
          <w:sz w:val="28"/>
          <w:szCs w:val="28"/>
          <w:lang w:val="uk-UA"/>
        </w:rPr>
        <w:t>гематурі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337A6"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proofErr w:type="spellStart"/>
      <w:r w:rsidR="008337A6">
        <w:rPr>
          <w:rFonts w:ascii="Times New Roman" w:hAnsi="Times New Roman" w:cs="Times New Roman"/>
          <w:sz w:val="28"/>
          <w:szCs w:val="28"/>
          <w:lang w:val="uk-UA"/>
        </w:rPr>
        <w:t>персистуючо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833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37A6">
        <w:rPr>
          <w:rFonts w:ascii="Times New Roman" w:hAnsi="Times New Roman" w:cs="Times New Roman"/>
          <w:sz w:val="28"/>
          <w:szCs w:val="28"/>
          <w:lang w:val="uk-UA"/>
        </w:rPr>
        <w:t>еритроцитурі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8337A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F080BE6" w14:textId="0ED010AE" w:rsidR="008337A6" w:rsidRDefault="008337A6" w:rsidP="00615BD2">
      <w:pPr>
        <w:pStyle w:val="a3"/>
        <w:numPr>
          <w:ilvl w:val="0"/>
          <w:numId w:val="4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підозр</w:t>
      </w:r>
      <w:r w:rsidR="00621A7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обструкцію сечової системи,</w:t>
      </w:r>
    </w:p>
    <w:p w14:paraId="32BD53FE" w14:textId="15090C2B" w:rsidR="007D2955" w:rsidRPr="008337A6" w:rsidRDefault="008337A6" w:rsidP="00615BD2">
      <w:pPr>
        <w:pStyle w:val="a3"/>
        <w:numPr>
          <w:ilvl w:val="0"/>
          <w:numId w:val="4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621A78">
        <w:rPr>
          <w:rFonts w:ascii="Times New Roman" w:hAnsi="Times New Roman" w:cs="Times New Roman"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7D2955" w:rsidRPr="00833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пункційної</w:t>
      </w:r>
      <w:proofErr w:type="spellEnd"/>
      <w:r w:rsidR="007D2955" w:rsidRPr="008337A6">
        <w:rPr>
          <w:rFonts w:ascii="Times New Roman" w:hAnsi="Times New Roman" w:cs="Times New Roman"/>
          <w:sz w:val="28"/>
          <w:szCs w:val="28"/>
          <w:lang w:val="uk-UA"/>
        </w:rPr>
        <w:t xml:space="preserve"> біопсії нир</w:t>
      </w:r>
      <w:r w:rsidR="00BF6B7F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4BFE28" w14:textId="48C46735" w:rsidR="00DD4DF6" w:rsidRDefault="00BF6B7F" w:rsidP="00615BD2">
      <w:pPr>
        <w:pStyle w:val="a3"/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DF6" w:rsidRPr="00DD4DF6">
        <w:rPr>
          <w:rFonts w:ascii="Times New Roman" w:hAnsi="Times New Roman" w:cs="Times New Roman"/>
          <w:sz w:val="28"/>
          <w:szCs w:val="28"/>
          <w:lang w:val="uk-UA"/>
        </w:rPr>
        <w:t>Біопсія нирк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D4DF6" w:rsidRPr="00DD4DF6">
        <w:rPr>
          <w:rFonts w:ascii="Times New Roman" w:hAnsi="Times New Roman" w:cs="Times New Roman"/>
          <w:sz w:val="28"/>
          <w:szCs w:val="28"/>
          <w:lang w:val="uk-UA"/>
        </w:rPr>
        <w:t xml:space="preserve"> повинна </w:t>
      </w:r>
      <w:r w:rsidR="00DA596C">
        <w:rPr>
          <w:rFonts w:ascii="Times New Roman" w:hAnsi="Times New Roman" w:cs="Times New Roman"/>
          <w:sz w:val="28"/>
          <w:szCs w:val="28"/>
          <w:lang w:val="uk-UA"/>
        </w:rPr>
        <w:t>виконува</w:t>
      </w:r>
      <w:r w:rsidR="00DD4DF6" w:rsidRPr="00DD4DF6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DD4DF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D4DF6" w:rsidRPr="00DD4DF6">
        <w:rPr>
          <w:rFonts w:ascii="Times New Roman" w:hAnsi="Times New Roman" w:cs="Times New Roman"/>
          <w:sz w:val="28"/>
          <w:szCs w:val="28"/>
          <w:lang w:val="uk-UA"/>
        </w:rPr>
        <w:t xml:space="preserve"> лише в екстрених випадках.</w:t>
      </w:r>
      <w:r w:rsidR="00DD4DF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DD4DF6" w:rsidRPr="00DD4DF6">
        <w:rPr>
          <w:rFonts w:ascii="Times New Roman" w:hAnsi="Times New Roman" w:cs="Times New Roman"/>
          <w:sz w:val="28"/>
          <w:szCs w:val="28"/>
          <w:lang w:val="uk-UA"/>
        </w:rPr>
        <w:t>еред пацієнтів, які мають показання до біопсії нирок</w:t>
      </w:r>
      <w:r w:rsidR="00DD4DF6">
        <w:rPr>
          <w:rFonts w:ascii="Times New Roman" w:hAnsi="Times New Roman" w:cs="Times New Roman"/>
          <w:sz w:val="28"/>
          <w:szCs w:val="28"/>
          <w:lang w:val="uk-UA"/>
        </w:rPr>
        <w:t xml:space="preserve"> надайте пріоритет </w:t>
      </w:r>
      <w:r w:rsidR="00E55734">
        <w:rPr>
          <w:rFonts w:ascii="Times New Roman" w:hAnsi="Times New Roman" w:cs="Times New Roman"/>
          <w:sz w:val="28"/>
          <w:szCs w:val="28"/>
          <w:lang w:val="uk-UA"/>
        </w:rPr>
        <w:t xml:space="preserve">пацієнтам високого та дуже високого ризику інфікування </w:t>
      </w:r>
      <w:r w:rsidR="00E55734" w:rsidRPr="00E55734">
        <w:rPr>
          <w:rFonts w:ascii="Times New Roman" w:hAnsi="Times New Roman" w:cs="Times New Roman"/>
          <w:sz w:val="28"/>
          <w:szCs w:val="28"/>
          <w:lang w:val="uk-UA"/>
        </w:rPr>
        <w:t>SARS-CoV-2</w:t>
      </w:r>
      <w:r w:rsidR="00E5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96C">
        <w:rPr>
          <w:rFonts w:ascii="Times New Roman" w:hAnsi="Times New Roman" w:cs="Times New Roman"/>
          <w:sz w:val="28"/>
          <w:szCs w:val="28"/>
          <w:lang w:val="uk-UA"/>
        </w:rPr>
        <w:t xml:space="preserve">та пацієнтам для яких відтермінування верифікації </w:t>
      </w:r>
      <w:r w:rsidR="007D6B7A">
        <w:rPr>
          <w:rFonts w:ascii="Times New Roman" w:hAnsi="Times New Roman" w:cs="Times New Roman"/>
          <w:sz w:val="28"/>
          <w:szCs w:val="28"/>
          <w:lang w:val="uk-UA"/>
        </w:rPr>
        <w:t>діагнозу може при</w:t>
      </w:r>
      <w:r w:rsidR="00DA596C">
        <w:rPr>
          <w:rFonts w:ascii="Times New Roman" w:hAnsi="Times New Roman" w:cs="Times New Roman"/>
          <w:sz w:val="28"/>
          <w:szCs w:val="28"/>
          <w:lang w:val="uk-UA"/>
        </w:rPr>
        <w:t>вести до незворотного погіршення функціонального стану нирок (ГХН, ГПН, ШПГН).</w:t>
      </w:r>
    </w:p>
    <w:p w14:paraId="126217EE" w14:textId="19444A8C" w:rsidR="002947D3" w:rsidRDefault="008B29D5" w:rsidP="00615BD2">
      <w:pPr>
        <w:pStyle w:val="a3"/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4DF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D3" w:rsidRPr="002947D3">
        <w:rPr>
          <w:rFonts w:ascii="Times New Roman" w:hAnsi="Times New Roman" w:cs="Times New Roman"/>
          <w:sz w:val="28"/>
          <w:szCs w:val="28"/>
          <w:lang w:val="uk-UA"/>
        </w:rPr>
        <w:t xml:space="preserve">Вирішуючи питання </w:t>
      </w:r>
      <w:r w:rsidR="00B806C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947D3" w:rsidRPr="00294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>доцільн</w:t>
      </w:r>
      <w:r w:rsidR="00B806C0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 xml:space="preserve"> госпіталізації хворого</w:t>
      </w:r>
      <w:r w:rsidR="002947D3" w:rsidRPr="002947D3">
        <w:rPr>
          <w:rFonts w:ascii="Times New Roman" w:hAnsi="Times New Roman" w:cs="Times New Roman"/>
          <w:sz w:val="28"/>
          <w:szCs w:val="28"/>
          <w:lang w:val="uk-UA"/>
        </w:rPr>
        <w:t xml:space="preserve"> з Х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947D3" w:rsidRPr="002947D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>, обов'язково враховуйте:</w:t>
      </w:r>
    </w:p>
    <w:p w14:paraId="583CBF4E" w14:textId="5C4A9454" w:rsidR="002947D3" w:rsidRDefault="002947D3" w:rsidP="00FE4E06">
      <w:pPr>
        <w:pStyle w:val="a3"/>
        <w:numPr>
          <w:ilvl w:val="0"/>
          <w:numId w:val="6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7D3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DA596C">
        <w:rPr>
          <w:rFonts w:ascii="Times New Roman" w:hAnsi="Times New Roman" w:cs="Times New Roman"/>
          <w:sz w:val="28"/>
          <w:szCs w:val="28"/>
          <w:lang w:val="uk-UA"/>
        </w:rPr>
        <w:t>жа</w:t>
      </w:r>
      <w:r w:rsidRPr="002947D3">
        <w:rPr>
          <w:rFonts w:ascii="Times New Roman" w:hAnsi="Times New Roman" w:cs="Times New Roman"/>
          <w:sz w:val="28"/>
          <w:szCs w:val="28"/>
          <w:lang w:val="uk-UA"/>
        </w:rPr>
        <w:t>ння пацієнта</w:t>
      </w:r>
      <w:r w:rsidR="00DA596C">
        <w:rPr>
          <w:rFonts w:ascii="Times New Roman" w:hAnsi="Times New Roman" w:cs="Times New Roman"/>
          <w:sz w:val="28"/>
          <w:szCs w:val="28"/>
          <w:lang w:val="uk-UA"/>
        </w:rPr>
        <w:t xml:space="preserve"> та/або його родичів,</w:t>
      </w:r>
    </w:p>
    <w:p w14:paraId="2DEF439B" w14:textId="69C8C981" w:rsidR="003B1076" w:rsidRDefault="003B1076" w:rsidP="00FE4E06">
      <w:pPr>
        <w:pStyle w:val="a3"/>
        <w:numPr>
          <w:ilvl w:val="0"/>
          <w:numId w:val="6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групу ризику </w:t>
      </w:r>
      <w:bookmarkStart w:id="5" w:name="_Hlk47513292"/>
      <w:r>
        <w:rPr>
          <w:rFonts w:ascii="Times New Roman" w:hAnsi="Times New Roman" w:cs="Times New Roman"/>
          <w:sz w:val="28"/>
          <w:szCs w:val="28"/>
          <w:lang w:val="uk-UA"/>
        </w:rPr>
        <w:t xml:space="preserve">інфікування </w:t>
      </w:r>
      <w:r w:rsidRPr="003B1076">
        <w:rPr>
          <w:rFonts w:ascii="Times New Roman" w:hAnsi="Times New Roman" w:cs="Times New Roman"/>
          <w:sz w:val="28"/>
          <w:szCs w:val="28"/>
          <w:lang w:val="uk-UA"/>
        </w:rPr>
        <w:t>SARS-CoV-2</w:t>
      </w:r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D83F5DE" w14:textId="2F81CDED" w:rsidR="002947D3" w:rsidRPr="002947D3" w:rsidRDefault="002947D3" w:rsidP="00FE4E06">
      <w:pPr>
        <w:pStyle w:val="a3"/>
        <w:numPr>
          <w:ilvl w:val="0"/>
          <w:numId w:val="6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7D3">
        <w:rPr>
          <w:rFonts w:ascii="Times New Roman" w:hAnsi="Times New Roman" w:cs="Times New Roman"/>
          <w:sz w:val="28"/>
          <w:szCs w:val="28"/>
          <w:lang w:val="uk-UA"/>
        </w:rPr>
        <w:t xml:space="preserve">тяжкість </w:t>
      </w:r>
      <w:r w:rsidR="00DA596C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A7C1A05" w14:textId="77777777" w:rsidR="002947D3" w:rsidRPr="002947D3" w:rsidRDefault="002947D3" w:rsidP="00FE4E06">
      <w:pPr>
        <w:pStyle w:val="a3"/>
        <w:numPr>
          <w:ilvl w:val="0"/>
          <w:numId w:val="6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7D3">
        <w:rPr>
          <w:rFonts w:ascii="Times New Roman" w:hAnsi="Times New Roman" w:cs="Times New Roman"/>
          <w:sz w:val="28"/>
          <w:szCs w:val="28"/>
          <w:lang w:val="uk-UA"/>
        </w:rPr>
        <w:t xml:space="preserve">чи приймає пацієнт </w:t>
      </w:r>
      <w:r w:rsidR="00792159">
        <w:rPr>
          <w:rFonts w:ascii="Times New Roman" w:hAnsi="Times New Roman" w:cs="Times New Roman"/>
          <w:sz w:val="28"/>
          <w:szCs w:val="28"/>
          <w:lang w:val="uk-UA"/>
        </w:rPr>
        <w:t>ІС терапію</w:t>
      </w:r>
      <w:r w:rsidR="00DD4DF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5FEF986" w14:textId="3A8F0C7E" w:rsidR="002947D3" w:rsidRPr="004D4E7D" w:rsidRDefault="00DA596C" w:rsidP="00FE4E06">
      <w:pPr>
        <w:pStyle w:val="a3"/>
        <w:numPr>
          <w:ilvl w:val="0"/>
          <w:numId w:val="6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необхідність стаціонарного лікування.</w:t>
      </w:r>
    </w:p>
    <w:p w14:paraId="61B75D00" w14:textId="5015E27A" w:rsidR="002947D3" w:rsidRDefault="008B29D5" w:rsidP="00CD06B6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47D3" w:rsidRPr="002947D3">
        <w:rPr>
          <w:rFonts w:ascii="Times New Roman" w:hAnsi="Times New Roman" w:cs="Times New Roman"/>
          <w:sz w:val="28"/>
          <w:szCs w:val="28"/>
          <w:lang w:val="uk-UA"/>
        </w:rPr>
        <w:t>родовжуйте планува</w:t>
      </w:r>
      <w:r w:rsidR="00FE4E06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2947D3" w:rsidRPr="00294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>почат</w:t>
      </w:r>
      <w:r w:rsidR="00FE4E06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 xml:space="preserve"> ниркової замісної терапії пацієнтам з ХХН </w:t>
      </w:r>
      <w:r w:rsidR="002947D3">
        <w:rPr>
          <w:rFonts w:ascii="Times New Roman" w:hAnsi="Times New Roman" w:cs="Times New Roman"/>
          <w:sz w:val="28"/>
          <w:szCs w:val="28"/>
        </w:rPr>
        <w:t>IV</w:t>
      </w:r>
      <w:r w:rsidR="002947D3" w:rsidRPr="002947D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947D3">
        <w:rPr>
          <w:rFonts w:ascii="Times New Roman" w:hAnsi="Times New Roman" w:cs="Times New Roman"/>
          <w:sz w:val="28"/>
          <w:szCs w:val="28"/>
        </w:rPr>
        <w:t>V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 xml:space="preserve"> стадій</w:t>
      </w:r>
      <w:r w:rsidR="00CD06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>направля</w:t>
      </w:r>
      <w:r w:rsidR="00CD06B6">
        <w:rPr>
          <w:rFonts w:ascii="Times New Roman" w:hAnsi="Times New Roman" w:cs="Times New Roman"/>
          <w:sz w:val="28"/>
          <w:szCs w:val="28"/>
          <w:lang w:val="uk-UA"/>
        </w:rPr>
        <w:t>йте пацієнтів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2947D3" w:rsidRPr="002947D3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судинного </w:t>
      </w:r>
      <w:r w:rsidR="002947D3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2947D3" w:rsidRPr="002947D3">
        <w:rPr>
          <w:rFonts w:ascii="Times New Roman" w:hAnsi="Times New Roman" w:cs="Times New Roman"/>
          <w:sz w:val="28"/>
          <w:szCs w:val="28"/>
          <w:lang w:val="uk-UA"/>
        </w:rPr>
        <w:t xml:space="preserve"> перитонеального доступу</w:t>
      </w:r>
      <w:r w:rsidR="00CD06B6">
        <w:rPr>
          <w:rFonts w:ascii="Times New Roman" w:hAnsi="Times New Roman" w:cs="Times New Roman"/>
          <w:sz w:val="28"/>
          <w:szCs w:val="28"/>
          <w:lang w:val="uk-UA"/>
        </w:rPr>
        <w:t>, трансплантацію нирки</w:t>
      </w:r>
      <w:r w:rsidR="002947D3" w:rsidRPr="002947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77A23D" w14:textId="77777777" w:rsidR="00DD4DF6" w:rsidRPr="002947D3" w:rsidRDefault="00DD4DF6" w:rsidP="002947D3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97E4D0" w14:textId="378578D1" w:rsidR="00681A7B" w:rsidRPr="006718DC" w:rsidRDefault="00681A7B" w:rsidP="00476961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18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Лікування хворих на ХХН </w:t>
      </w:r>
      <w:r w:rsidR="00727B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низької та середньої груп </w:t>
      </w:r>
      <w:r w:rsidR="0045006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ризику</w:t>
      </w:r>
      <w:r w:rsidR="002A242B" w:rsidRPr="002A242B">
        <w:rPr>
          <w:lang w:val="uk-UA"/>
        </w:rPr>
        <w:t xml:space="preserve"> </w:t>
      </w:r>
      <w:r w:rsidR="002A242B" w:rsidRPr="002A242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інфікування SARS-CoV-2</w:t>
      </w:r>
      <w:r w:rsidR="002A24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718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 пандемії</w:t>
      </w:r>
      <w:r w:rsidR="002A242B" w:rsidRPr="002A24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A242B" w:rsidRPr="006718DC">
        <w:rPr>
          <w:rFonts w:ascii="Times New Roman" w:hAnsi="Times New Roman" w:cs="Times New Roman"/>
          <w:b/>
          <w:bCs/>
          <w:sz w:val="28"/>
          <w:szCs w:val="28"/>
          <w:lang w:val="uk-UA"/>
        </w:rPr>
        <w:t>COVID-19</w:t>
      </w:r>
      <w:r w:rsidRPr="006718D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831D38F" w14:textId="77777777" w:rsidR="00A756DE" w:rsidRPr="00A756DE" w:rsidRDefault="00A756DE" w:rsidP="00A756DE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8DE02E" w14:textId="73F56E1B" w:rsidR="002B0014" w:rsidRPr="005562F6" w:rsidRDefault="002B0014" w:rsidP="005562F6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2F6">
        <w:rPr>
          <w:rFonts w:ascii="Times New Roman" w:hAnsi="Times New Roman" w:cs="Times New Roman"/>
          <w:sz w:val="28"/>
          <w:szCs w:val="28"/>
          <w:lang w:val="uk-UA"/>
        </w:rPr>
        <w:t>Рекомендуйте усім пацієнтам з ХХН продовжувати прийом попередньо призначених лікарських засобів (</w:t>
      </w:r>
      <w:proofErr w:type="spellStart"/>
      <w:r w:rsidRPr="005562F6">
        <w:rPr>
          <w:rFonts w:ascii="Times New Roman" w:hAnsi="Times New Roman" w:cs="Times New Roman"/>
          <w:sz w:val="28"/>
          <w:szCs w:val="28"/>
          <w:lang w:val="uk-UA"/>
        </w:rPr>
        <w:t>іАПФ</w:t>
      </w:r>
      <w:proofErr w:type="spellEnd"/>
      <w:r w:rsidRPr="005562F6">
        <w:rPr>
          <w:rFonts w:ascii="Times New Roman" w:hAnsi="Times New Roman" w:cs="Times New Roman"/>
          <w:sz w:val="28"/>
          <w:szCs w:val="28"/>
          <w:lang w:val="uk-UA"/>
        </w:rPr>
        <w:t xml:space="preserve">, БРА, </w:t>
      </w:r>
      <w:proofErr w:type="spellStart"/>
      <w:r w:rsidRPr="005562F6">
        <w:rPr>
          <w:rFonts w:ascii="Times New Roman" w:hAnsi="Times New Roman" w:cs="Times New Roman"/>
          <w:sz w:val="28"/>
          <w:szCs w:val="28"/>
          <w:lang w:val="uk-UA"/>
        </w:rPr>
        <w:t>діуретики</w:t>
      </w:r>
      <w:proofErr w:type="spellEnd"/>
      <w:r w:rsidRPr="005562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62F6">
        <w:rPr>
          <w:rFonts w:ascii="Times New Roman" w:hAnsi="Times New Roman" w:cs="Times New Roman"/>
          <w:sz w:val="28"/>
          <w:szCs w:val="28"/>
          <w:lang w:val="uk-UA"/>
        </w:rPr>
        <w:t>цитостатики</w:t>
      </w:r>
      <w:proofErr w:type="spellEnd"/>
      <w:r w:rsidRPr="005562F6">
        <w:rPr>
          <w:rFonts w:ascii="Times New Roman" w:hAnsi="Times New Roman" w:cs="Times New Roman"/>
          <w:sz w:val="28"/>
          <w:szCs w:val="28"/>
          <w:lang w:val="uk-UA"/>
        </w:rPr>
        <w:t xml:space="preserve"> і т.п.) доки Ви або інший фахівець їх не відмінить. Пам'ятайте, на сьогодні немає доказів щодо негативного впливу </w:t>
      </w:r>
      <w:proofErr w:type="spellStart"/>
      <w:r w:rsidRPr="005562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АПФ</w:t>
      </w:r>
      <w:proofErr w:type="spellEnd"/>
      <w:r w:rsidR="004B752A">
        <w:rPr>
          <w:rFonts w:ascii="Times New Roman" w:hAnsi="Times New Roman" w:cs="Times New Roman"/>
          <w:sz w:val="28"/>
          <w:szCs w:val="28"/>
          <w:lang w:val="uk-UA"/>
        </w:rPr>
        <w:t xml:space="preserve"> або БРФ на прогноз COVID-19.</w:t>
      </w:r>
    </w:p>
    <w:p w14:paraId="4178ED12" w14:textId="77777777" w:rsidR="009371AF" w:rsidRPr="00224E6C" w:rsidRDefault="009371AF" w:rsidP="009371AF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E6C">
        <w:rPr>
          <w:rFonts w:ascii="Times New Roman" w:hAnsi="Times New Roman" w:cs="Times New Roman"/>
          <w:sz w:val="28"/>
          <w:szCs w:val="28"/>
          <w:lang w:val="uk-UA"/>
        </w:rPr>
        <w:t xml:space="preserve">У разі повільної швидкості прогресування, нормальної функції нирок та </w:t>
      </w:r>
      <w:proofErr w:type="spellStart"/>
      <w:r w:rsidRPr="00224E6C">
        <w:rPr>
          <w:rFonts w:ascii="Times New Roman" w:hAnsi="Times New Roman" w:cs="Times New Roman"/>
          <w:sz w:val="28"/>
          <w:szCs w:val="28"/>
          <w:lang w:val="uk-UA"/>
        </w:rPr>
        <w:t>безсимптомної</w:t>
      </w:r>
      <w:proofErr w:type="spellEnd"/>
      <w:r w:rsidRPr="00224E6C">
        <w:rPr>
          <w:rFonts w:ascii="Times New Roman" w:hAnsi="Times New Roman" w:cs="Times New Roman"/>
          <w:sz w:val="28"/>
          <w:szCs w:val="28"/>
          <w:lang w:val="uk-UA"/>
        </w:rPr>
        <w:t xml:space="preserve"> протеїнурії розгляньте питання щодо призначення </w:t>
      </w:r>
      <w:proofErr w:type="spellStart"/>
      <w:r w:rsidRPr="00224E6C">
        <w:rPr>
          <w:rFonts w:ascii="Times New Roman" w:hAnsi="Times New Roman" w:cs="Times New Roman"/>
          <w:sz w:val="28"/>
          <w:szCs w:val="28"/>
          <w:lang w:val="uk-UA"/>
        </w:rPr>
        <w:t>іАПФ</w:t>
      </w:r>
      <w:proofErr w:type="spellEnd"/>
      <w:r w:rsidRPr="00224E6C">
        <w:rPr>
          <w:rFonts w:ascii="Times New Roman" w:hAnsi="Times New Roman" w:cs="Times New Roman"/>
          <w:sz w:val="28"/>
          <w:szCs w:val="28"/>
          <w:lang w:val="uk-UA"/>
        </w:rPr>
        <w:t xml:space="preserve">/БРА, контролю артеріального тиску та обмеження солі до </w:t>
      </w:r>
      <w:r w:rsidRPr="00224E6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поліпшення епідемічної ситуації. До такої групи можна віднести пацієнтів зі збереженою ШКФ та:</w:t>
      </w:r>
    </w:p>
    <w:p w14:paraId="572B9857" w14:textId="77777777" w:rsidR="009371AF" w:rsidRDefault="009371AF" w:rsidP="009371AF">
      <w:pPr>
        <w:pStyle w:val="a3"/>
        <w:numPr>
          <w:ilvl w:val="1"/>
          <w:numId w:val="25"/>
        </w:numPr>
        <w:tabs>
          <w:tab w:val="left" w:pos="1560"/>
        </w:tabs>
        <w:spacing w:after="0"/>
        <w:ind w:left="1560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884">
        <w:rPr>
          <w:rFonts w:ascii="Times New Roman" w:hAnsi="Times New Roman" w:cs="Times New Roman"/>
          <w:sz w:val="28"/>
          <w:szCs w:val="28"/>
          <w:lang w:val="uk-UA"/>
        </w:rPr>
        <w:t>мембранозною</w:t>
      </w:r>
      <w:proofErr w:type="spellEnd"/>
      <w:r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нефропатією з </w:t>
      </w:r>
      <w:proofErr w:type="spellStart"/>
      <w:r w:rsidRPr="00437884">
        <w:rPr>
          <w:rFonts w:ascii="Times New Roman" w:hAnsi="Times New Roman" w:cs="Times New Roman"/>
          <w:sz w:val="28"/>
          <w:szCs w:val="28"/>
          <w:lang w:val="uk-UA"/>
        </w:rPr>
        <w:t>нефротичним</w:t>
      </w:r>
      <w:proofErr w:type="spellEnd"/>
      <w:r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синдромом та/або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титрів анти-PLA2R антитіл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3E80226A" w14:textId="77777777" w:rsidR="009371AF" w:rsidRDefault="009371AF" w:rsidP="009371AF">
      <w:pPr>
        <w:pStyle w:val="a3"/>
        <w:numPr>
          <w:ilvl w:val="1"/>
          <w:numId w:val="25"/>
        </w:numPr>
        <w:tabs>
          <w:tab w:val="left" w:pos="1560"/>
        </w:tabs>
        <w:spacing w:after="0"/>
        <w:ind w:left="1560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нефропатією мінімальних змін,</w:t>
      </w:r>
    </w:p>
    <w:p w14:paraId="54B50A0F" w14:textId="77777777" w:rsidR="009371AF" w:rsidRDefault="009371AF" w:rsidP="009371AF">
      <w:pPr>
        <w:pStyle w:val="a3"/>
        <w:numPr>
          <w:ilvl w:val="1"/>
          <w:numId w:val="25"/>
        </w:numPr>
        <w:tabs>
          <w:tab w:val="left" w:pos="1560"/>
        </w:tabs>
        <w:spacing w:after="0"/>
        <w:ind w:left="1560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торинним фокальним сегментарним </w:t>
      </w:r>
      <w:proofErr w:type="spellStart"/>
      <w:r w:rsidRPr="00437884">
        <w:rPr>
          <w:rFonts w:ascii="Times New Roman" w:hAnsi="Times New Roman" w:cs="Times New Roman"/>
          <w:sz w:val="28"/>
          <w:szCs w:val="28"/>
          <w:lang w:val="uk-UA"/>
        </w:rPr>
        <w:t>гломерулосклерозом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04FBB37" w14:textId="29E976F2" w:rsidR="009371AF" w:rsidRPr="00224E6C" w:rsidRDefault="009371AF" w:rsidP="009371AF">
      <w:pPr>
        <w:pStyle w:val="a3"/>
        <w:numPr>
          <w:ilvl w:val="1"/>
          <w:numId w:val="25"/>
        </w:numPr>
        <w:tabs>
          <w:tab w:val="left" w:pos="851"/>
          <w:tab w:val="left" w:pos="1560"/>
        </w:tabs>
        <w:spacing w:after="0"/>
        <w:ind w:left="1560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4E6C">
        <w:rPr>
          <w:rFonts w:ascii="Times New Roman" w:hAnsi="Times New Roman" w:cs="Times New Roman"/>
          <w:sz w:val="28"/>
          <w:szCs w:val="28"/>
          <w:lang w:val="uk-UA"/>
        </w:rPr>
        <w:t>IgA</w:t>
      </w:r>
      <w:proofErr w:type="spellEnd"/>
      <w:r w:rsidRPr="00224E6C">
        <w:rPr>
          <w:rFonts w:ascii="Times New Roman" w:hAnsi="Times New Roman" w:cs="Times New Roman"/>
          <w:sz w:val="28"/>
          <w:szCs w:val="28"/>
          <w:lang w:val="uk-UA"/>
        </w:rPr>
        <w:t xml:space="preserve"> нефропатією з </w:t>
      </w:r>
      <w:proofErr w:type="spellStart"/>
      <w:r w:rsidRPr="00224E6C">
        <w:rPr>
          <w:rFonts w:ascii="Times New Roman" w:hAnsi="Times New Roman" w:cs="Times New Roman"/>
          <w:sz w:val="28"/>
          <w:szCs w:val="28"/>
          <w:lang w:val="uk-UA"/>
        </w:rPr>
        <w:t>ендокапілярною</w:t>
      </w:r>
      <w:proofErr w:type="spellEnd"/>
      <w:r w:rsidRPr="00224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E6C">
        <w:rPr>
          <w:rFonts w:ascii="Times New Roman" w:hAnsi="Times New Roman" w:cs="Times New Roman"/>
          <w:sz w:val="28"/>
          <w:szCs w:val="28"/>
          <w:lang w:val="uk-UA"/>
        </w:rPr>
        <w:t>гіперклітинніст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224E6C"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відсутністю</w:t>
      </w:r>
      <w:r w:rsidRPr="00224E6C">
        <w:rPr>
          <w:rFonts w:ascii="Times New Roman" w:hAnsi="Times New Roman" w:cs="Times New Roman"/>
          <w:sz w:val="28"/>
          <w:szCs w:val="28"/>
          <w:lang w:val="uk-UA"/>
        </w:rPr>
        <w:t xml:space="preserve"> півмісяц</w:t>
      </w:r>
      <w:r w:rsidR="00E71B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52A">
        <w:rPr>
          <w:rFonts w:ascii="Times New Roman" w:hAnsi="Times New Roman" w:cs="Times New Roman"/>
          <w:sz w:val="28"/>
          <w:szCs w:val="28"/>
          <w:lang w:val="uk-UA"/>
        </w:rPr>
        <w:t>в за результатами біопсії нирок.</w:t>
      </w:r>
    </w:p>
    <w:p w14:paraId="63832A5A" w14:textId="0E50821C" w:rsidR="00476961" w:rsidRDefault="00681A7B" w:rsidP="005562F6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Рішення щодо необхідності початку </w:t>
      </w:r>
      <w:r w:rsidR="00792159" w:rsidRPr="002B0014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терапії у пацієнтів </w:t>
      </w:r>
      <w:r w:rsidR="002A242B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групи ризику 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>з вперше</w:t>
      </w:r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>діагностованим</w:t>
      </w:r>
      <w:proofErr w:type="spellEnd"/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>гломерулонефритом</w:t>
      </w:r>
      <w:proofErr w:type="spellEnd"/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(ГН)</w:t>
      </w:r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>системним захворюванням сполучної тканини, як то системний червоний вовчак (СЧВ) або васкуліт,</w:t>
      </w:r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>базуватись</w:t>
      </w:r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швидкості </w:t>
      </w:r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>прогресу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захворювання, результат</w:t>
      </w:r>
      <w:r w:rsidR="00065D2A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біопсії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нирок</w:t>
      </w:r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>ШКФ</w:t>
      </w:r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, рівня протеїнурії та </w:t>
      </w:r>
      <w:r w:rsidR="00065D2A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r w:rsidR="00DD4DF6" w:rsidRPr="002B0014">
        <w:rPr>
          <w:rFonts w:ascii="Times New Roman" w:hAnsi="Times New Roman" w:cs="Times New Roman"/>
          <w:sz w:val="28"/>
          <w:szCs w:val="28"/>
          <w:lang w:val="uk-UA"/>
        </w:rPr>
        <w:t>супутніх захворювань</w:t>
      </w:r>
      <w:r w:rsidR="00E71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9941B9" w14:textId="77777777" w:rsidR="00476961" w:rsidRDefault="00476961" w:rsidP="00476961">
      <w:pPr>
        <w:pStyle w:val="a3"/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664B3" w14:textId="7B3A3907" w:rsidR="00476961" w:rsidRPr="00476961" w:rsidRDefault="00DD4DF6" w:rsidP="00476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69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76961" w:rsidRPr="004769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Лікування хворих на ХХН </w:t>
      </w:r>
      <w:r w:rsidR="0047696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високої</w:t>
      </w:r>
      <w:r w:rsidR="00476961" w:rsidRPr="004769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r w:rsidR="00476961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дуже високої</w:t>
      </w:r>
      <w:r w:rsidR="00476961" w:rsidRPr="004769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груп ризику інфікування SARS-CoV-2 під час пандемії COVID-19.</w:t>
      </w:r>
    </w:p>
    <w:p w14:paraId="4FDE0646" w14:textId="3D91D110" w:rsidR="00792159" w:rsidRDefault="00792159" w:rsidP="00476961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82EA4" w14:textId="3C807A27" w:rsidR="00D01EF9" w:rsidRDefault="00633D34" w:rsidP="005562F6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високий </w:t>
      </w:r>
      <w:r w:rsidR="00130245">
        <w:rPr>
          <w:rFonts w:ascii="Times New Roman" w:hAnsi="Times New Roman" w:cs="Times New Roman"/>
          <w:sz w:val="28"/>
          <w:szCs w:val="28"/>
          <w:lang w:val="uk-UA"/>
        </w:rPr>
        <w:t>ризик</w:t>
      </w:r>
      <w:r w:rsidR="00130245" w:rsidRPr="00130245">
        <w:rPr>
          <w:lang w:val="uk-UA"/>
        </w:rPr>
        <w:t xml:space="preserve"> </w:t>
      </w:r>
      <w:r w:rsidR="00130245" w:rsidRPr="00130245">
        <w:rPr>
          <w:rFonts w:ascii="Times New Roman" w:hAnsi="Times New Roman" w:cs="Times New Roman"/>
          <w:sz w:val="28"/>
          <w:szCs w:val="28"/>
          <w:lang w:val="uk-UA"/>
        </w:rPr>
        <w:t>інфікування SARS-CoV-2</w:t>
      </w:r>
      <w:r w:rsidR="00130245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043320" w:rsidRPr="00437884">
        <w:rPr>
          <w:rFonts w:ascii="Times New Roman" w:hAnsi="Times New Roman" w:cs="Times New Roman"/>
          <w:sz w:val="28"/>
          <w:szCs w:val="28"/>
          <w:lang w:val="uk-UA"/>
        </w:rPr>
        <w:t>ацієнти</w:t>
      </w:r>
      <w:r w:rsidR="00476961" w:rsidRPr="00476961">
        <w:rPr>
          <w:lang w:val="uk-UA"/>
        </w:rPr>
        <w:t xml:space="preserve"> </w:t>
      </w:r>
      <w:r w:rsidR="00437884" w:rsidRPr="0043788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1E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205456" w14:textId="58750DF8" w:rsidR="00D01EF9" w:rsidRDefault="00437884" w:rsidP="000A4579">
      <w:pPr>
        <w:pStyle w:val="a3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884">
        <w:rPr>
          <w:rFonts w:ascii="Times New Roman" w:hAnsi="Times New Roman" w:cs="Times New Roman"/>
          <w:sz w:val="28"/>
          <w:szCs w:val="28"/>
          <w:lang w:val="uk-UA"/>
        </w:rPr>
        <w:t>швидкопрогресуючим</w:t>
      </w:r>
      <w:proofErr w:type="spellEnd"/>
      <w:r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ГН, </w:t>
      </w:r>
    </w:p>
    <w:p w14:paraId="3980F7CB" w14:textId="7953C0C9" w:rsidR="00D01EF9" w:rsidRDefault="00437884" w:rsidP="000A4579">
      <w:pPr>
        <w:pStyle w:val="a3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884">
        <w:rPr>
          <w:rFonts w:ascii="Times New Roman" w:hAnsi="Times New Roman" w:cs="Times New Roman"/>
          <w:sz w:val="28"/>
          <w:szCs w:val="28"/>
          <w:lang w:val="uk-UA"/>
        </w:rPr>
        <w:t>анти-ГБМ ГН, ANCA-асоційованим васкулітом</w:t>
      </w:r>
      <w:r w:rsidR="00FA0D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A265DF" w14:textId="1D17D27D" w:rsidR="00D01EF9" w:rsidRDefault="00437884" w:rsidP="000A4579">
      <w:pPr>
        <w:pStyle w:val="a3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884">
        <w:rPr>
          <w:rFonts w:ascii="Times New Roman" w:hAnsi="Times New Roman" w:cs="Times New Roman"/>
          <w:sz w:val="28"/>
          <w:szCs w:val="28"/>
          <w:lang w:val="uk-UA"/>
        </w:rPr>
        <w:t>люпус-нефритом</w:t>
      </w:r>
      <w:proofErr w:type="spellEnd"/>
      <w:r w:rsidR="00FA0D2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5A62FE3" w14:textId="77777777" w:rsidR="00FA0D24" w:rsidRDefault="00437884" w:rsidP="000A4579">
      <w:pPr>
        <w:pStyle w:val="a3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наявністю ускладнень </w:t>
      </w:r>
      <w:proofErr w:type="spellStart"/>
      <w:r w:rsidRPr="00437884">
        <w:rPr>
          <w:rFonts w:ascii="Times New Roman" w:hAnsi="Times New Roman" w:cs="Times New Roman"/>
          <w:sz w:val="28"/>
          <w:szCs w:val="28"/>
          <w:lang w:val="uk-UA"/>
        </w:rPr>
        <w:t>нефротичного</w:t>
      </w:r>
      <w:proofErr w:type="spellEnd"/>
      <w:r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синдрому</w:t>
      </w:r>
      <w:r w:rsidR="00D01E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37884">
        <w:rPr>
          <w:rFonts w:ascii="Times New Roman" w:hAnsi="Times New Roman" w:cs="Times New Roman"/>
          <w:sz w:val="28"/>
          <w:szCs w:val="28"/>
          <w:lang w:val="uk-UA"/>
        </w:rPr>
        <w:t>наприклад, глибокий венозний тромбоз</w:t>
      </w:r>
      <w:r w:rsidR="00D01E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7884">
        <w:rPr>
          <w:rFonts w:ascii="Times New Roman" w:hAnsi="Times New Roman" w:cs="Times New Roman"/>
          <w:sz w:val="28"/>
          <w:szCs w:val="28"/>
          <w:lang w:val="uk-UA"/>
        </w:rPr>
        <w:t>анасарка</w:t>
      </w:r>
      <w:proofErr w:type="spellEnd"/>
      <w:r w:rsidR="00D01E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1EF9">
        <w:rPr>
          <w:rFonts w:ascii="Times New Roman" w:hAnsi="Times New Roman" w:cs="Times New Roman"/>
          <w:sz w:val="28"/>
          <w:szCs w:val="28"/>
          <w:lang w:val="uk-UA"/>
        </w:rPr>
        <w:t>нефротичний</w:t>
      </w:r>
      <w:proofErr w:type="spellEnd"/>
      <w:r w:rsidR="00D01EF9">
        <w:rPr>
          <w:rFonts w:ascii="Times New Roman" w:hAnsi="Times New Roman" w:cs="Times New Roman"/>
          <w:sz w:val="28"/>
          <w:szCs w:val="28"/>
          <w:lang w:val="uk-UA"/>
        </w:rPr>
        <w:t xml:space="preserve"> криз)</w:t>
      </w:r>
    </w:p>
    <w:p w14:paraId="13A382CD" w14:textId="7A91B5FA" w:rsidR="003D31D1" w:rsidRPr="000A4579" w:rsidRDefault="00FA0D24" w:rsidP="000A4579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D24">
        <w:rPr>
          <w:rFonts w:ascii="Times New Roman" w:hAnsi="Times New Roman" w:cs="Times New Roman"/>
          <w:sz w:val="28"/>
          <w:szCs w:val="28"/>
          <w:lang w:val="uk-UA"/>
        </w:rPr>
        <w:t xml:space="preserve">мають негайного розпочати стандартні схеми ІС терапії. </w:t>
      </w:r>
      <w:r w:rsidR="003D31D1" w:rsidRPr="000A457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43320" w:rsidRPr="000A4579">
        <w:rPr>
          <w:rFonts w:ascii="Times New Roman" w:hAnsi="Times New Roman" w:cs="Times New Roman"/>
          <w:sz w:val="28"/>
          <w:szCs w:val="28"/>
          <w:lang w:val="uk-UA"/>
        </w:rPr>
        <w:t>термінування</w:t>
      </w:r>
      <w:r w:rsidR="003D31D1" w:rsidRPr="000A4579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пацієнтів </w:t>
      </w:r>
      <w:r w:rsidR="004467DC">
        <w:rPr>
          <w:rFonts w:ascii="Times New Roman" w:hAnsi="Times New Roman" w:cs="Times New Roman"/>
          <w:sz w:val="28"/>
          <w:szCs w:val="28"/>
          <w:lang w:val="uk-UA"/>
        </w:rPr>
        <w:t xml:space="preserve">цих груп </w:t>
      </w:r>
      <w:r w:rsidR="003D31D1" w:rsidRPr="000A4579">
        <w:rPr>
          <w:rFonts w:ascii="Times New Roman" w:hAnsi="Times New Roman" w:cs="Times New Roman"/>
          <w:sz w:val="28"/>
          <w:szCs w:val="28"/>
          <w:lang w:val="uk-UA"/>
        </w:rPr>
        <w:t>може збільшити ризик негативного прогнозу більше, ніж початок ІС лікування під час пандемії</w:t>
      </w:r>
      <w:r w:rsidR="00437884" w:rsidRPr="000A45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31D1" w:rsidRPr="000A4579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оцінка ризику та користі повинна враховувати </w:t>
      </w:r>
      <w:r w:rsidR="00437884" w:rsidRPr="000A457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D31D1" w:rsidRPr="000A4579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пацієнта практикувати </w:t>
      </w:r>
      <w:r w:rsidR="00316479" w:rsidRPr="000A4579">
        <w:rPr>
          <w:rFonts w:ascii="Times New Roman" w:hAnsi="Times New Roman" w:cs="Times New Roman"/>
          <w:sz w:val="28"/>
          <w:szCs w:val="28"/>
          <w:lang w:val="uk-UA"/>
        </w:rPr>
        <w:t>соціальне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 xml:space="preserve"> дистанціювання.</w:t>
      </w:r>
    </w:p>
    <w:p w14:paraId="69C67E4B" w14:textId="03D64A2C" w:rsidR="003D31D1" w:rsidRPr="00437884" w:rsidRDefault="00792159" w:rsidP="005562F6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88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D4DF6"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ільшість </w:t>
      </w:r>
      <w:r w:rsidRPr="00437884">
        <w:rPr>
          <w:rFonts w:ascii="Times New Roman" w:hAnsi="Times New Roman" w:cs="Times New Roman"/>
          <w:sz w:val="28"/>
          <w:szCs w:val="28"/>
          <w:lang w:val="uk-UA"/>
        </w:rPr>
        <w:t>стабільних</w:t>
      </w:r>
      <w:r w:rsidR="00DD4DF6"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</w:t>
      </w:r>
      <w:r w:rsidR="004467DC" w:rsidRPr="004467DC">
        <w:rPr>
          <w:rFonts w:ascii="Times New Roman" w:hAnsi="Times New Roman" w:cs="Times New Roman"/>
          <w:sz w:val="28"/>
          <w:szCs w:val="28"/>
          <w:lang w:val="uk-UA"/>
        </w:rPr>
        <w:t>високої та дуже високої груп ризику інфікування SARS-CoV-2</w:t>
      </w:r>
      <w:r w:rsidR="00446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DF6"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не повинні припиняти </w:t>
      </w:r>
      <w:r w:rsidRPr="00437884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DD4DF6"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лікування. Пацієнти, які певний час перебувають у стійкій ремісії, можуть </w:t>
      </w:r>
      <w:r w:rsidR="004467DC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DD4DF6" w:rsidRPr="00437884">
        <w:rPr>
          <w:rFonts w:ascii="Times New Roman" w:hAnsi="Times New Roman" w:cs="Times New Roman"/>
          <w:sz w:val="28"/>
          <w:szCs w:val="28"/>
          <w:lang w:val="uk-UA"/>
        </w:rPr>
        <w:t>почати з</w:t>
      </w:r>
      <w:r w:rsidRPr="00437884">
        <w:rPr>
          <w:rFonts w:ascii="Times New Roman" w:hAnsi="Times New Roman" w:cs="Times New Roman"/>
          <w:sz w:val="28"/>
          <w:szCs w:val="28"/>
          <w:lang w:val="uk-UA"/>
        </w:rPr>
        <w:t>ниження дози</w:t>
      </w:r>
      <w:r w:rsidR="00DD4DF6"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ІС</w:t>
      </w:r>
      <w:r w:rsidR="003D31D1"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засобів, як</w:t>
      </w:r>
      <w:r w:rsidR="002D36A2">
        <w:rPr>
          <w:rFonts w:ascii="Times New Roman" w:hAnsi="Times New Roman" w:cs="Times New Roman"/>
          <w:sz w:val="28"/>
          <w:szCs w:val="28"/>
          <w:lang w:val="uk-UA"/>
        </w:rPr>
        <w:t>що це</w:t>
      </w:r>
      <w:r w:rsidR="003D31D1" w:rsidRPr="00437884">
        <w:rPr>
          <w:rFonts w:ascii="Times New Roman" w:hAnsi="Times New Roman" w:cs="Times New Roman"/>
          <w:sz w:val="28"/>
          <w:szCs w:val="28"/>
          <w:lang w:val="uk-UA"/>
        </w:rPr>
        <w:t xml:space="preserve"> було за</w:t>
      </w:r>
      <w:r w:rsidR="00DD4DF6" w:rsidRPr="00437884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3D31D1" w:rsidRPr="0043788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4DF6" w:rsidRPr="004378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ано.</w:t>
      </w:r>
    </w:p>
    <w:p w14:paraId="7EE7E21A" w14:textId="3F6DF92C" w:rsidR="0062699D" w:rsidRPr="0062699D" w:rsidRDefault="00224E6C" w:rsidP="005562F6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99D"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переведення пацієнтів, які </w:t>
      </w:r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 xml:space="preserve">знаходяться на </w:t>
      </w:r>
      <w:r w:rsidR="00DA596C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 xml:space="preserve">і індукції </w:t>
      </w:r>
      <w:r w:rsidR="00DA596C">
        <w:rPr>
          <w:rFonts w:ascii="Times New Roman" w:hAnsi="Times New Roman" w:cs="Times New Roman"/>
          <w:sz w:val="28"/>
          <w:szCs w:val="28"/>
          <w:lang w:val="uk-UA"/>
        </w:rPr>
        <w:t xml:space="preserve">ремісії </w:t>
      </w:r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 xml:space="preserve">(наприклад, </w:t>
      </w:r>
      <w:proofErr w:type="spellStart"/>
      <w:r w:rsidR="00DA596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>венне</w:t>
      </w:r>
      <w:proofErr w:type="spellEnd"/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96C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пульс доз </w:t>
      </w:r>
      <w:proofErr w:type="spellStart"/>
      <w:r w:rsidR="00DA596C">
        <w:rPr>
          <w:rFonts w:ascii="Times New Roman" w:hAnsi="Times New Roman" w:cs="Times New Roman"/>
          <w:sz w:val="28"/>
          <w:szCs w:val="28"/>
          <w:lang w:val="uk-UA"/>
        </w:rPr>
        <w:t>циклофосфаміду</w:t>
      </w:r>
      <w:proofErr w:type="spellEnd"/>
      <w:r w:rsidR="00DA596C"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proofErr w:type="spellStart"/>
      <w:r w:rsidR="00DA596C" w:rsidRPr="001B738E">
        <w:rPr>
          <w:rFonts w:ascii="Times New Roman" w:hAnsi="Times New Roman" w:cs="Times New Roman"/>
          <w:sz w:val="28"/>
          <w:szCs w:val="28"/>
          <w:lang w:val="uk-UA"/>
        </w:rPr>
        <w:t>метипреду</w:t>
      </w:r>
      <w:proofErr w:type="spellEnd"/>
      <w:r w:rsidR="0062699D" w:rsidRPr="001B73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 xml:space="preserve">, на еквівалентні дози перорального режиму індукції </w:t>
      </w:r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(наприклад, використання перорального </w:t>
      </w:r>
      <w:proofErr w:type="spellStart"/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>циклофосфаміду</w:t>
      </w:r>
      <w:proofErr w:type="spellEnd"/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>мофетилу</w:t>
      </w:r>
      <w:proofErr w:type="spellEnd"/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>мікофенолату</w:t>
      </w:r>
      <w:proofErr w:type="spellEnd"/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>). Так само, пацієнти, як</w:t>
      </w:r>
      <w:r w:rsidR="002D36A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епідемії </w:t>
      </w:r>
      <w:r w:rsidR="00D15598">
        <w:rPr>
          <w:rFonts w:ascii="Times New Roman" w:hAnsi="Times New Roman" w:cs="Times New Roman"/>
          <w:sz w:val="28"/>
          <w:szCs w:val="28"/>
          <w:lang w:val="uk-UA"/>
        </w:rPr>
        <w:t xml:space="preserve">Ви б призначили </w:t>
      </w:r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 xml:space="preserve">пульс дози </w:t>
      </w:r>
      <w:proofErr w:type="spellStart"/>
      <w:r w:rsidR="0062699D" w:rsidRPr="0062699D">
        <w:rPr>
          <w:rFonts w:ascii="Times New Roman" w:hAnsi="Times New Roman" w:cs="Times New Roman"/>
          <w:sz w:val="28"/>
          <w:szCs w:val="28"/>
          <w:lang w:val="uk-UA"/>
        </w:rPr>
        <w:t>метилпреднізолон</w:t>
      </w:r>
      <w:r w:rsidR="00D1559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62699D">
        <w:rPr>
          <w:rFonts w:ascii="Times New Roman" w:hAnsi="Times New Roman" w:cs="Times New Roman"/>
          <w:sz w:val="28"/>
          <w:szCs w:val="28"/>
          <w:lang w:val="uk-UA"/>
        </w:rPr>
        <w:t>, можу</w:t>
      </w:r>
      <w:r w:rsidR="00DA596C">
        <w:rPr>
          <w:rFonts w:ascii="Times New Roman" w:hAnsi="Times New Roman" w:cs="Times New Roman"/>
          <w:sz w:val="28"/>
          <w:szCs w:val="28"/>
          <w:lang w:val="uk-UA"/>
        </w:rPr>
        <w:t>ть бути переведені на пероральний його</w:t>
      </w:r>
      <w:r w:rsidR="00626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прийом.</w:t>
      </w:r>
    </w:p>
    <w:p w14:paraId="20D9FE00" w14:textId="0C9CA8C4" w:rsidR="00DD4DF6" w:rsidRDefault="00DD4DF6" w:rsidP="005562F6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014">
        <w:rPr>
          <w:rFonts w:ascii="Times New Roman" w:hAnsi="Times New Roman" w:cs="Times New Roman"/>
          <w:sz w:val="28"/>
          <w:szCs w:val="28"/>
          <w:lang w:val="uk-UA"/>
        </w:rPr>
        <w:t>Розглян</w:t>
      </w:r>
      <w:r w:rsidR="003D31D1" w:rsidRPr="002B0014">
        <w:rPr>
          <w:rFonts w:ascii="Times New Roman" w:hAnsi="Times New Roman" w:cs="Times New Roman"/>
          <w:sz w:val="28"/>
          <w:szCs w:val="28"/>
          <w:lang w:val="uk-UA"/>
        </w:rPr>
        <w:t>ьте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3D31D1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r w:rsidR="003D31D1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заміни 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proofErr w:type="spellStart"/>
      <w:r w:rsidR="00224E6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>итуксимабу</w:t>
      </w:r>
      <w:proofErr w:type="spellEnd"/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>іншу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терапію, 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proofErr w:type="spellStart"/>
      <w:r w:rsidR="00224E6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>итуксимаб</w:t>
      </w:r>
      <w:proofErr w:type="spellEnd"/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пригніч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0F4" w:rsidRPr="001B738E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анти SARS-CoV-2 </w:t>
      </w:r>
      <w:r w:rsidR="00EE7BE4" w:rsidRPr="001B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38E">
        <w:rPr>
          <w:rFonts w:ascii="Times New Roman" w:hAnsi="Times New Roman" w:cs="Times New Roman"/>
          <w:sz w:val="28"/>
          <w:szCs w:val="28"/>
          <w:lang w:val="uk-UA"/>
        </w:rPr>
        <w:t>антитіл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декількох місяців. Крім того, від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>термінування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0014">
        <w:rPr>
          <w:rFonts w:ascii="Times New Roman" w:hAnsi="Times New Roman" w:cs="Times New Roman"/>
          <w:sz w:val="28"/>
          <w:szCs w:val="28"/>
          <w:lang w:val="uk-UA"/>
        </w:rPr>
        <w:t>інфузій</w:t>
      </w:r>
      <w:proofErr w:type="spellEnd"/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4E6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>итуксимабу</w:t>
      </w:r>
      <w:proofErr w:type="spellEnd"/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зменшує 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>частоту візитів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пацієнта, що 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EE7BE4" w:rsidRPr="002B0014">
        <w:rPr>
          <w:rFonts w:ascii="Times New Roman" w:hAnsi="Times New Roman" w:cs="Times New Roman"/>
          <w:sz w:val="28"/>
          <w:szCs w:val="28"/>
          <w:lang w:val="uk-UA"/>
        </w:rPr>
        <w:t>протиепідемічним</w:t>
      </w:r>
      <w:r w:rsidRPr="002B0014">
        <w:rPr>
          <w:rFonts w:ascii="Times New Roman" w:hAnsi="Times New Roman" w:cs="Times New Roman"/>
          <w:sz w:val="28"/>
          <w:szCs w:val="28"/>
          <w:lang w:val="uk-UA"/>
        </w:rPr>
        <w:t xml:space="preserve"> заходом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D0AD3F" w14:textId="31B84827" w:rsidR="00D03EB1" w:rsidRPr="00D03EB1" w:rsidRDefault="00F150F4" w:rsidP="007D6B7A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03EB1">
        <w:rPr>
          <w:rFonts w:ascii="Times New Roman" w:hAnsi="Times New Roman" w:cs="Times New Roman"/>
          <w:sz w:val="28"/>
          <w:szCs w:val="28"/>
          <w:lang w:val="uk-UA"/>
        </w:rPr>
        <w:t>кщо це можливо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3EB1" w:rsidRPr="00D03EB1">
        <w:rPr>
          <w:rFonts w:ascii="Times New Roman" w:hAnsi="Times New Roman" w:cs="Times New Roman"/>
          <w:sz w:val="28"/>
          <w:szCs w:val="28"/>
          <w:lang w:val="uk-UA"/>
        </w:rPr>
        <w:t>меншіть</w:t>
      </w:r>
      <w:proofErr w:type="spellEnd"/>
      <w:r w:rsidR="00D03EB1" w:rsidRPr="00D03EB1">
        <w:rPr>
          <w:rFonts w:ascii="Times New Roman" w:hAnsi="Times New Roman" w:cs="Times New Roman"/>
          <w:sz w:val="28"/>
          <w:szCs w:val="28"/>
          <w:lang w:val="uk-UA"/>
        </w:rPr>
        <w:t xml:space="preserve"> стероїди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добов</w:t>
      </w:r>
      <w:r w:rsidR="00D03EB1" w:rsidRPr="00D03EB1">
        <w:rPr>
          <w:rFonts w:ascii="Times New Roman" w:hAnsi="Times New Roman" w:cs="Times New Roman"/>
          <w:sz w:val="28"/>
          <w:szCs w:val="28"/>
          <w:lang w:val="uk-UA"/>
        </w:rPr>
        <w:t xml:space="preserve">ої дози преднізолону </w:t>
      </w:r>
      <w:r w:rsidR="007D6B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03EB1" w:rsidRPr="00D03EB1">
        <w:rPr>
          <w:rFonts w:ascii="Times New Roman" w:hAnsi="Times New Roman" w:cs="Times New Roman"/>
          <w:sz w:val="28"/>
          <w:szCs w:val="28"/>
          <w:lang w:val="uk-UA"/>
        </w:rPr>
        <w:t>0,2 мг/кг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D9A5FE" w14:textId="56F412F0" w:rsidR="00D03EB1" w:rsidRPr="002B0014" w:rsidRDefault="00C65C45" w:rsidP="005562F6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C45">
        <w:rPr>
          <w:rFonts w:ascii="Times New Roman" w:hAnsi="Times New Roman" w:cs="Times New Roman"/>
          <w:sz w:val="28"/>
          <w:szCs w:val="28"/>
          <w:lang w:val="uk-UA"/>
        </w:rPr>
        <w:t xml:space="preserve">Не зупиняйте попередньо призначене лікування </w:t>
      </w:r>
      <w:proofErr w:type="spellStart"/>
      <w:r w:rsidRPr="00C65C45">
        <w:rPr>
          <w:rFonts w:ascii="Times New Roman" w:hAnsi="Times New Roman" w:cs="Times New Roman"/>
          <w:sz w:val="28"/>
          <w:szCs w:val="28"/>
          <w:lang w:val="uk-UA"/>
        </w:rPr>
        <w:t>іАПФ</w:t>
      </w:r>
      <w:proofErr w:type="spellEnd"/>
      <w:r w:rsidRPr="00C65C45">
        <w:rPr>
          <w:rFonts w:ascii="Times New Roman" w:hAnsi="Times New Roman" w:cs="Times New Roman"/>
          <w:sz w:val="28"/>
          <w:szCs w:val="28"/>
          <w:lang w:val="uk-UA"/>
        </w:rPr>
        <w:t xml:space="preserve"> або БРА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F217E5" w14:textId="070AE5AB" w:rsidR="00706453" w:rsidRDefault="00DD4DF6" w:rsidP="005562F6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453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61262"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453">
        <w:rPr>
          <w:rFonts w:ascii="Times New Roman" w:hAnsi="Times New Roman" w:cs="Times New Roman"/>
          <w:sz w:val="28"/>
          <w:szCs w:val="28"/>
          <w:lang w:val="uk-UA"/>
        </w:rPr>
        <w:t>припиня</w:t>
      </w:r>
      <w:r w:rsidR="00761262" w:rsidRPr="00706453">
        <w:rPr>
          <w:rFonts w:ascii="Times New Roman" w:hAnsi="Times New Roman" w:cs="Times New Roman"/>
          <w:sz w:val="28"/>
          <w:szCs w:val="28"/>
          <w:lang w:val="uk-UA"/>
        </w:rPr>
        <w:t>йте поточне</w:t>
      </w:r>
      <w:r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262" w:rsidRPr="00706453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="00EE7BE4"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7BE4" w:rsidRPr="00706453">
        <w:rPr>
          <w:rFonts w:ascii="Times New Roman" w:hAnsi="Times New Roman" w:cs="Times New Roman"/>
          <w:sz w:val="28"/>
          <w:szCs w:val="28"/>
          <w:lang w:val="uk-UA"/>
        </w:rPr>
        <w:t>гідроксихлорохін</w:t>
      </w:r>
      <w:r w:rsidR="00761262" w:rsidRPr="00706453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EE7BE4"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у пацієнтів з СЧВ або </w:t>
      </w:r>
      <w:proofErr w:type="spellStart"/>
      <w:r w:rsidR="00EE7BE4" w:rsidRPr="00706453">
        <w:rPr>
          <w:rFonts w:ascii="Times New Roman" w:hAnsi="Times New Roman" w:cs="Times New Roman"/>
          <w:sz w:val="28"/>
          <w:szCs w:val="28"/>
          <w:lang w:val="uk-UA"/>
        </w:rPr>
        <w:t>ревматоїдним</w:t>
      </w:r>
      <w:proofErr w:type="spellEnd"/>
      <w:r w:rsidR="00EE7BE4"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артритом</w:t>
      </w:r>
      <w:r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1262" w:rsidRPr="0070645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06453"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ам'ятайте про взаємодію </w:t>
      </w:r>
      <w:proofErr w:type="spellStart"/>
      <w:r w:rsidR="00706453" w:rsidRPr="00706453">
        <w:rPr>
          <w:rFonts w:ascii="Times New Roman" w:hAnsi="Times New Roman" w:cs="Times New Roman"/>
          <w:sz w:val="28"/>
          <w:szCs w:val="28"/>
          <w:lang w:val="uk-UA"/>
        </w:rPr>
        <w:t>гідроксихлорохіну</w:t>
      </w:r>
      <w:proofErr w:type="spellEnd"/>
      <w:r w:rsidR="00706453"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з іншими лікарськими засобами та п</w:t>
      </w:r>
      <w:r w:rsidR="00761262" w:rsidRPr="00706453">
        <w:rPr>
          <w:rFonts w:ascii="Times New Roman" w:hAnsi="Times New Roman" w:cs="Times New Roman"/>
          <w:sz w:val="28"/>
          <w:szCs w:val="28"/>
          <w:lang w:val="uk-UA"/>
        </w:rPr>
        <w:t>ереконайтесь, що немає</w:t>
      </w:r>
      <w:r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262"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="00706453" w:rsidRPr="007064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коригуванн</w:t>
      </w:r>
      <w:r w:rsidR="00706453" w:rsidRPr="007064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дози </w:t>
      </w:r>
      <w:proofErr w:type="spellStart"/>
      <w:r w:rsidRPr="00706453">
        <w:rPr>
          <w:rFonts w:ascii="Times New Roman" w:hAnsi="Times New Roman" w:cs="Times New Roman"/>
          <w:sz w:val="28"/>
          <w:szCs w:val="28"/>
          <w:lang w:val="uk-UA"/>
        </w:rPr>
        <w:t>циклоспорину</w:t>
      </w:r>
      <w:proofErr w:type="spellEnd"/>
      <w:r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, інгібіторів </w:t>
      </w:r>
      <w:proofErr w:type="spellStart"/>
      <w:r w:rsidRPr="00706453">
        <w:rPr>
          <w:rFonts w:ascii="Times New Roman" w:hAnsi="Times New Roman" w:cs="Times New Roman"/>
          <w:sz w:val="28"/>
          <w:szCs w:val="28"/>
          <w:lang w:val="uk-UA"/>
        </w:rPr>
        <w:t>mTOR</w:t>
      </w:r>
      <w:proofErr w:type="spellEnd"/>
      <w:r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841F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06453">
        <w:rPr>
          <w:rFonts w:ascii="Times New Roman" w:hAnsi="Times New Roman" w:cs="Times New Roman"/>
          <w:sz w:val="28"/>
          <w:szCs w:val="28"/>
          <w:lang w:val="uk-UA"/>
        </w:rPr>
        <w:t>амоксифену</w:t>
      </w:r>
      <w:proofErr w:type="spellEnd"/>
      <w:r w:rsidRPr="007064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6453"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Доза </w:t>
      </w:r>
      <w:proofErr w:type="spellStart"/>
      <w:r w:rsidR="00706453" w:rsidRPr="00706453">
        <w:rPr>
          <w:rFonts w:ascii="Times New Roman" w:hAnsi="Times New Roman" w:cs="Times New Roman"/>
          <w:sz w:val="28"/>
          <w:szCs w:val="28"/>
          <w:lang w:val="uk-UA"/>
        </w:rPr>
        <w:t>гідроксихлорохіну</w:t>
      </w:r>
      <w:proofErr w:type="spellEnd"/>
      <w:r w:rsidR="00706453"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має бути </w:t>
      </w:r>
      <w:r w:rsidR="007D6B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коригована</w:t>
      </w:r>
      <w:r w:rsidR="00706453" w:rsidRPr="00706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706453" w:rsidRPr="00706453">
        <w:rPr>
          <w:rFonts w:ascii="Times New Roman" w:hAnsi="Times New Roman" w:cs="Times New Roman"/>
          <w:sz w:val="28"/>
          <w:szCs w:val="28"/>
          <w:lang w:val="uk-UA"/>
        </w:rPr>
        <w:t>до ШКФ пацієнта</w:t>
      </w:r>
      <w:r w:rsidR="007500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B26F45" w14:textId="77777777" w:rsidR="00C36004" w:rsidRDefault="00C36004" w:rsidP="00C3600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639D4E" w14:textId="39CDA6C3" w:rsidR="00C36004" w:rsidRPr="00ED4F42" w:rsidRDefault="00C36004" w:rsidP="006718D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4F42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Лікування хворих на ХХН з підозрою на COVID-19.</w:t>
      </w:r>
    </w:p>
    <w:p w14:paraId="1596A144" w14:textId="77777777" w:rsidR="00316479" w:rsidRPr="00C36004" w:rsidRDefault="00316479" w:rsidP="00316479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4EB55EC8" w14:textId="20AA827C" w:rsidR="00C36004" w:rsidRPr="001E4E8D" w:rsidRDefault="00C36004" w:rsidP="001E4E8D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E8D">
        <w:rPr>
          <w:rFonts w:ascii="Times New Roman" w:hAnsi="Times New Roman" w:cs="Times New Roman"/>
          <w:sz w:val="28"/>
          <w:szCs w:val="28"/>
          <w:lang w:val="uk-UA"/>
        </w:rPr>
        <w:t>Практикуйте ізоляцію</w:t>
      </w:r>
      <w:r w:rsidR="001E4E8D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1E4E8D">
        <w:rPr>
          <w:rFonts w:ascii="Times New Roman" w:hAnsi="Times New Roman" w:cs="Times New Roman"/>
          <w:sz w:val="28"/>
          <w:szCs w:val="28"/>
          <w:lang w:val="uk-UA"/>
        </w:rPr>
        <w:t xml:space="preserve"> домашніх умовах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01F786" w14:textId="4E64A0D4" w:rsidR="00660B62" w:rsidRPr="00660B62" w:rsidRDefault="00660B62" w:rsidP="001E4E8D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Протестуйте пацієнта щодо наявності SARS-CoV-2. Пацієнти, які отримують ІС терапію можуть мати </w:t>
      </w:r>
      <w:proofErr w:type="spellStart"/>
      <w:r w:rsidRPr="00660B62">
        <w:rPr>
          <w:rFonts w:ascii="Times New Roman" w:hAnsi="Times New Roman" w:cs="Times New Roman"/>
          <w:sz w:val="28"/>
          <w:szCs w:val="28"/>
          <w:lang w:val="uk-UA"/>
        </w:rPr>
        <w:t>безсимптомний</w:t>
      </w:r>
      <w:proofErr w:type="spellEnd"/>
      <w:r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0B62">
        <w:rPr>
          <w:rFonts w:ascii="Times New Roman" w:hAnsi="Times New Roman" w:cs="Times New Roman"/>
          <w:sz w:val="28"/>
          <w:szCs w:val="28"/>
          <w:lang w:val="uk-UA"/>
        </w:rPr>
        <w:t>беребіг</w:t>
      </w:r>
      <w:proofErr w:type="spellEnd"/>
      <w:r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</w:t>
      </w:r>
      <w:r w:rsidR="001E4E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81937E" w14:textId="20755B70" w:rsidR="00C36004" w:rsidRPr="00660B62" w:rsidRDefault="00660B62" w:rsidP="001E4E8D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0B62">
        <w:rPr>
          <w:rFonts w:ascii="Times New Roman" w:hAnsi="Times New Roman" w:cs="Times New Roman"/>
          <w:sz w:val="28"/>
          <w:szCs w:val="28"/>
          <w:lang w:val="uk-UA"/>
        </w:rPr>
        <w:t>Зменш</w:t>
      </w:r>
      <w:r w:rsidR="009D7D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0B62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C36004"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 стероїди до еквівалентної дози преднізолону 0,2 мг/кг/добу, якщо </w:t>
      </w:r>
      <w:r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C36004" w:rsidRPr="00660B62">
        <w:rPr>
          <w:rFonts w:ascii="Times New Roman" w:hAnsi="Times New Roman" w:cs="Times New Roman"/>
          <w:sz w:val="28"/>
          <w:szCs w:val="28"/>
          <w:lang w:val="uk-UA"/>
        </w:rPr>
        <w:t>можливо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040B02" w14:textId="5FBA5FEC" w:rsidR="00C36004" w:rsidRPr="00660B62" w:rsidRDefault="00660B62" w:rsidP="001E4E8D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B62">
        <w:rPr>
          <w:rFonts w:ascii="Times New Roman" w:hAnsi="Times New Roman" w:cs="Times New Roman"/>
          <w:sz w:val="28"/>
          <w:szCs w:val="28"/>
          <w:lang w:val="uk-UA"/>
        </w:rPr>
        <w:t>За наявності</w:t>
      </w:r>
      <w:r w:rsidR="00C36004"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 лейкопені</w:t>
      </w:r>
      <w:r w:rsidRPr="00660B6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36004"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C36004" w:rsidRPr="00660B62">
        <w:rPr>
          <w:rFonts w:ascii="Times New Roman" w:hAnsi="Times New Roman" w:cs="Times New Roman"/>
          <w:sz w:val="28"/>
          <w:szCs w:val="28"/>
          <w:lang w:val="uk-UA"/>
        </w:rPr>
        <w:t>лімфопені</w:t>
      </w:r>
      <w:r w:rsidRPr="00660B62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C36004"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0B62">
        <w:rPr>
          <w:rFonts w:ascii="Times New Roman" w:hAnsi="Times New Roman" w:cs="Times New Roman"/>
          <w:sz w:val="28"/>
          <w:szCs w:val="28"/>
          <w:lang w:val="uk-UA"/>
        </w:rPr>
        <w:t>зменш</w:t>
      </w:r>
      <w:r w:rsidR="009D7D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0B62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C36004"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 дозу цитотоксичних </w:t>
      </w:r>
      <w:r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засобів доки рівень лейкоцитів крові не </w:t>
      </w:r>
      <w:r w:rsidR="00C36004"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відновиться. </w:t>
      </w:r>
      <w:proofErr w:type="spellStart"/>
      <w:r w:rsidR="00C36004" w:rsidRPr="00660B62">
        <w:rPr>
          <w:rFonts w:ascii="Times New Roman" w:hAnsi="Times New Roman" w:cs="Times New Roman"/>
          <w:sz w:val="28"/>
          <w:szCs w:val="28"/>
          <w:lang w:val="uk-UA"/>
        </w:rPr>
        <w:t>Лімфопенія</w:t>
      </w:r>
      <w:proofErr w:type="spellEnd"/>
      <w:r w:rsidR="00C36004"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ознакою активно</w:t>
      </w:r>
      <w:r w:rsidR="00650B07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C36004" w:rsidRPr="00660B62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CFC0AA" w14:textId="06B88F26" w:rsidR="00C36004" w:rsidRDefault="00660B62" w:rsidP="001E4E8D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4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36004" w:rsidRPr="00316479">
        <w:rPr>
          <w:rFonts w:ascii="Times New Roman" w:hAnsi="Times New Roman" w:cs="Times New Roman"/>
          <w:sz w:val="28"/>
          <w:szCs w:val="28"/>
          <w:lang w:val="uk-UA"/>
        </w:rPr>
        <w:t xml:space="preserve">е зупиняйте </w:t>
      </w:r>
      <w:r w:rsidR="00F606D2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призначене </w:t>
      </w:r>
      <w:r w:rsidRPr="00316479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</w:t>
      </w:r>
      <w:proofErr w:type="spellStart"/>
      <w:r w:rsidRPr="00E71B19">
        <w:rPr>
          <w:rFonts w:ascii="Times New Roman" w:hAnsi="Times New Roman" w:cs="Times New Roman"/>
          <w:sz w:val="28"/>
          <w:szCs w:val="28"/>
          <w:lang w:val="uk-UA"/>
        </w:rPr>
        <w:t>іАПФ</w:t>
      </w:r>
      <w:proofErr w:type="spellEnd"/>
      <w:r w:rsidRPr="00316479">
        <w:rPr>
          <w:rFonts w:ascii="Times New Roman" w:hAnsi="Times New Roman" w:cs="Times New Roman"/>
          <w:sz w:val="28"/>
          <w:szCs w:val="28"/>
          <w:lang w:val="uk-UA"/>
        </w:rPr>
        <w:t xml:space="preserve"> або БРА</w:t>
      </w:r>
      <w:r w:rsidR="00C36004" w:rsidRPr="003164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F2488" w14:textId="77777777" w:rsidR="00316479" w:rsidRDefault="00316479" w:rsidP="001E4E8D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9491A" w14:textId="24FDA86E" w:rsidR="00316479" w:rsidRPr="00ED4F42" w:rsidRDefault="00D9240C" w:rsidP="0031647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316479" w:rsidRPr="00ED4F4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16479" w:rsidRPr="00ED4F4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Лікування хворих на ХХН з підтвердженим випадком COVID-19</w:t>
      </w:r>
      <w:r w:rsidR="009D7D58" w:rsidRPr="00ED4F4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706402A" w14:textId="77777777" w:rsidR="00316479" w:rsidRPr="00316479" w:rsidRDefault="00316479" w:rsidP="00316479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804F34" w14:textId="471D2181" w:rsidR="00043320" w:rsidRDefault="00043320" w:rsidP="001410E9">
      <w:pPr>
        <w:pStyle w:val="a3"/>
        <w:numPr>
          <w:ilvl w:val="1"/>
          <w:numId w:val="3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40C">
        <w:rPr>
          <w:rFonts w:ascii="Times New Roman" w:hAnsi="Times New Roman" w:cs="Times New Roman"/>
          <w:sz w:val="28"/>
          <w:szCs w:val="28"/>
          <w:lang w:val="uk-UA"/>
        </w:rPr>
        <w:t>Перегляньте перелік лікарських засобів з точки зору негативного впливу на функцію нирок у пацієнтів з підтвердженим випадком інфікуванням COVID-19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FD1C05" w14:textId="36BA0704" w:rsidR="008B5B43" w:rsidRPr="001410E9" w:rsidRDefault="008B5B43" w:rsidP="001410E9">
      <w:pPr>
        <w:pStyle w:val="a3"/>
        <w:numPr>
          <w:ilvl w:val="1"/>
          <w:numId w:val="3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0E9">
        <w:rPr>
          <w:rFonts w:ascii="Times New Roman" w:hAnsi="Times New Roman" w:cs="Times New Roman"/>
          <w:sz w:val="28"/>
          <w:szCs w:val="28"/>
          <w:lang w:val="uk-UA"/>
        </w:rPr>
        <w:t xml:space="preserve">Здійснюйте госпіталізацію інфікованих COVID-19 пацієнтів на основі наявних симптомів та факторів ризику. Більшість пацієнтів можуть </w:t>
      </w:r>
      <w:r w:rsidRPr="001410E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залишатися вдома. Розгляньте можливість подальшого спостереження за пацієнтом у телеф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онному режимі кожні 24-48 годин.</w:t>
      </w:r>
      <w:r w:rsidRPr="00141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EE15AB" w14:textId="7870D4C5" w:rsidR="00E97D3C" w:rsidRDefault="00E97D3C" w:rsidP="001410E9">
      <w:pPr>
        <w:pStyle w:val="a3"/>
        <w:numPr>
          <w:ilvl w:val="1"/>
          <w:numId w:val="3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D2">
        <w:rPr>
          <w:rFonts w:ascii="Times New Roman" w:hAnsi="Times New Roman" w:cs="Times New Roman"/>
          <w:sz w:val="28"/>
          <w:szCs w:val="28"/>
          <w:lang w:val="uk-UA"/>
        </w:rPr>
        <w:t xml:space="preserve">Проконсультуйтесь з лікарем-інфекціоністом щодо призначення 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антивірусних лікарських засобів.</w:t>
      </w:r>
      <w:r w:rsidRPr="00F60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640A17" w14:textId="77777777" w:rsidR="00D85C6C" w:rsidRPr="00681F41" w:rsidRDefault="00D85C6C" w:rsidP="001410E9">
      <w:pPr>
        <w:pStyle w:val="a3"/>
        <w:numPr>
          <w:ilvl w:val="1"/>
          <w:numId w:val="3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уважні призначаючи противірусні лікарські засоби пацієнтам з ХХН, які отримують ІС терапію. Пам’ятайте, що б</w:t>
      </w:r>
      <w:r w:rsidRPr="00681F41">
        <w:rPr>
          <w:rFonts w:ascii="Times New Roman" w:hAnsi="Times New Roman" w:cs="Times New Roman"/>
          <w:sz w:val="28"/>
          <w:szCs w:val="28"/>
          <w:lang w:val="uk-UA"/>
        </w:rPr>
        <w:t xml:space="preserve">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681F41">
        <w:rPr>
          <w:rFonts w:ascii="Times New Roman" w:hAnsi="Times New Roman" w:cs="Times New Roman"/>
          <w:sz w:val="28"/>
          <w:szCs w:val="28"/>
          <w:lang w:val="uk-UA"/>
        </w:rPr>
        <w:t xml:space="preserve">тивірусних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Pr="00681F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681F41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для лікування</w:t>
      </w:r>
      <w:r w:rsidRPr="00681F41">
        <w:rPr>
          <w:rFonts w:ascii="Times New Roman" w:hAnsi="Times New Roman" w:cs="Times New Roman"/>
          <w:sz w:val="28"/>
          <w:szCs w:val="28"/>
          <w:lang w:val="uk-UA"/>
        </w:rPr>
        <w:t xml:space="preserve"> COVID-19, мож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681F41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81F41">
        <w:rPr>
          <w:rFonts w:ascii="Times New Roman" w:hAnsi="Times New Roman" w:cs="Times New Roman"/>
          <w:sz w:val="28"/>
          <w:szCs w:val="28"/>
          <w:lang w:val="uk-UA"/>
        </w:rPr>
        <w:t xml:space="preserve"> з 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лікарськими засобами:</w:t>
      </w:r>
    </w:p>
    <w:p w14:paraId="59E3F6F6" w14:textId="77777777" w:rsidR="00D85C6C" w:rsidRPr="009C15E4" w:rsidRDefault="00D85C6C" w:rsidP="001410E9">
      <w:pPr>
        <w:pStyle w:val="a3"/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азатіоприн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 взаємодіє з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хлорохіном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гідроксихлорохіном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рибавірином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тоцилізумабом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C15E4">
        <w:rPr>
          <w:rFonts w:ascii="Times New Roman" w:hAnsi="Times New Roman" w:cs="Times New Roman"/>
          <w:sz w:val="28"/>
          <w:szCs w:val="28"/>
          <w:lang w:val="uk-UA"/>
        </w:rPr>
        <w:t>оже знадобитис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 коригування дози та ретельний контроль,</w:t>
      </w:r>
    </w:p>
    <w:p w14:paraId="198616B5" w14:textId="77777777" w:rsidR="00D85C6C" w:rsidRPr="009C15E4" w:rsidRDefault="00D85C6C" w:rsidP="001410E9">
      <w:pPr>
        <w:pStyle w:val="a3"/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атазанавір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лопінавір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ритонавір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хлорохін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гідроксихлорохін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 підвищує рівень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циклоспорину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такролімусу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821E157" w14:textId="77777777" w:rsidR="00D85C6C" w:rsidRPr="009C15E4" w:rsidRDefault="00D85C6C" w:rsidP="001410E9">
      <w:pPr>
        <w:pStyle w:val="a3"/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тоцилізумаб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 знижує дію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циклоспорину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6CE9A4D" w14:textId="5360D1B5" w:rsidR="00D85C6C" w:rsidRPr="009C15E4" w:rsidRDefault="00D85C6C" w:rsidP="001410E9">
      <w:pPr>
        <w:pStyle w:val="a3"/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мофетил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мікофенолат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потенційно взаємодіє з 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лопінавіром</w:t>
      </w:r>
      <w:proofErr w:type="spellEnd"/>
      <w:r w:rsidRPr="009C15E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9C15E4">
        <w:rPr>
          <w:rFonts w:ascii="Times New Roman" w:hAnsi="Times New Roman" w:cs="Times New Roman"/>
          <w:sz w:val="28"/>
          <w:szCs w:val="28"/>
          <w:lang w:val="uk-UA"/>
        </w:rPr>
        <w:t>ритонавіром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м</w:t>
      </w:r>
      <w:r w:rsidRPr="009C15E4">
        <w:rPr>
          <w:rFonts w:ascii="Times New Roman" w:hAnsi="Times New Roman" w:cs="Times New Roman"/>
          <w:sz w:val="28"/>
          <w:szCs w:val="28"/>
          <w:lang w:val="uk-UA"/>
        </w:rPr>
        <w:t>оже знадобитися коригування дози та ретельний контроль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6B5DDF" w14:textId="01681EF1" w:rsidR="00611D3E" w:rsidRPr="00611D3E" w:rsidRDefault="009D7D58" w:rsidP="001410E9">
      <w:pPr>
        <w:pStyle w:val="a3"/>
        <w:numPr>
          <w:ilvl w:val="1"/>
          <w:numId w:val="3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D3E">
        <w:rPr>
          <w:rFonts w:ascii="Times New Roman" w:hAnsi="Times New Roman" w:cs="Times New Roman"/>
          <w:sz w:val="28"/>
          <w:szCs w:val="28"/>
          <w:lang w:val="uk-UA"/>
        </w:rPr>
        <w:t>Розгляньте питання щодо</w:t>
      </w:r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або зменшення</w:t>
      </w:r>
      <w:r w:rsidR="008B5B43">
        <w:rPr>
          <w:rFonts w:ascii="Times New Roman" w:hAnsi="Times New Roman" w:cs="Times New Roman"/>
          <w:sz w:val="28"/>
          <w:szCs w:val="28"/>
          <w:lang w:val="uk-UA"/>
        </w:rPr>
        <w:t xml:space="preserve"> дози</w:t>
      </w:r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D3E">
        <w:rPr>
          <w:rFonts w:ascii="Times New Roman" w:hAnsi="Times New Roman" w:cs="Times New Roman"/>
          <w:sz w:val="28"/>
          <w:szCs w:val="28"/>
          <w:lang w:val="uk-UA"/>
        </w:rPr>
        <w:t>мофетилу</w:t>
      </w:r>
      <w:proofErr w:type="spellEnd"/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D3E">
        <w:rPr>
          <w:rFonts w:ascii="Times New Roman" w:hAnsi="Times New Roman" w:cs="Times New Roman"/>
          <w:sz w:val="28"/>
          <w:szCs w:val="28"/>
          <w:lang w:val="uk-UA"/>
        </w:rPr>
        <w:t>мікофенолату</w:t>
      </w:r>
      <w:proofErr w:type="spellEnd"/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8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5B43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1D3E">
        <w:rPr>
          <w:rFonts w:ascii="Times New Roman" w:hAnsi="Times New Roman" w:cs="Times New Roman"/>
          <w:sz w:val="28"/>
          <w:szCs w:val="28"/>
          <w:lang w:val="uk-UA"/>
        </w:rPr>
        <w:t>азатіоприну</w:t>
      </w:r>
      <w:proofErr w:type="spellEnd"/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Кортикостероїди ніколи не слід різко </w:t>
      </w:r>
      <w:r w:rsidRPr="00611D3E">
        <w:rPr>
          <w:rFonts w:ascii="Times New Roman" w:hAnsi="Times New Roman" w:cs="Times New Roman"/>
          <w:sz w:val="28"/>
          <w:szCs w:val="28"/>
          <w:lang w:val="uk-UA"/>
        </w:rPr>
        <w:t>відміняти, знижуйте дозу повільно</w:t>
      </w:r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D3E">
        <w:rPr>
          <w:rFonts w:ascii="Times New Roman" w:hAnsi="Times New Roman" w:cs="Times New Roman"/>
          <w:sz w:val="28"/>
          <w:szCs w:val="28"/>
          <w:lang w:val="uk-UA"/>
        </w:rPr>
        <w:t>до еквівалентної дози преднізолону 0,2 мг/кг/добу</w:t>
      </w:r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Інгібітори </w:t>
      </w:r>
      <w:proofErr w:type="spellStart"/>
      <w:r w:rsidRPr="00611D3E">
        <w:rPr>
          <w:rFonts w:ascii="Times New Roman" w:hAnsi="Times New Roman" w:cs="Times New Roman"/>
          <w:sz w:val="28"/>
          <w:szCs w:val="28"/>
          <w:lang w:val="uk-UA"/>
        </w:rPr>
        <w:t>кальциневрину</w:t>
      </w:r>
      <w:proofErr w:type="spellEnd"/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, принаймні </w:t>
      </w:r>
      <w:proofErr w:type="spellStart"/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>циклоспорин</w:t>
      </w:r>
      <w:proofErr w:type="spellEnd"/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>, мож</w:t>
      </w:r>
      <w:r w:rsidRPr="00611D3E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зменш</w:t>
      </w:r>
      <w:r w:rsidRPr="00611D3E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реплікацію вірусу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756DF6" w14:textId="13399408" w:rsidR="00856B45" w:rsidRDefault="00F150F4" w:rsidP="001410E9">
      <w:pPr>
        <w:pStyle w:val="a3"/>
        <w:numPr>
          <w:ilvl w:val="1"/>
          <w:numId w:val="3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можливості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6B45" w:rsidRPr="00611D3E">
        <w:rPr>
          <w:rFonts w:ascii="Times New Roman" w:hAnsi="Times New Roman" w:cs="Times New Roman"/>
          <w:sz w:val="28"/>
          <w:szCs w:val="28"/>
          <w:lang w:val="uk-UA"/>
        </w:rPr>
        <w:t>ідтермінуйте</w:t>
      </w:r>
      <w:proofErr w:type="spellEnd"/>
      <w:r w:rsidR="00856B45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заплановані </w:t>
      </w:r>
      <w:r w:rsidR="00856B45">
        <w:rPr>
          <w:rFonts w:ascii="Times New Roman" w:hAnsi="Times New Roman" w:cs="Times New Roman"/>
          <w:sz w:val="28"/>
          <w:szCs w:val="28"/>
          <w:lang w:val="uk-UA"/>
        </w:rPr>
        <w:t>ін'єкції</w:t>
      </w:r>
      <w:r w:rsidR="004D329E">
        <w:rPr>
          <w:rFonts w:ascii="Times New Roman" w:hAnsi="Times New Roman" w:cs="Times New Roman"/>
          <w:sz w:val="28"/>
          <w:szCs w:val="28"/>
          <w:lang w:val="uk-UA"/>
        </w:rPr>
        <w:t xml:space="preserve">/пульс-дози </w:t>
      </w:r>
      <w:proofErr w:type="spellStart"/>
      <w:r w:rsidR="004D329E">
        <w:rPr>
          <w:rFonts w:ascii="Times New Roman" w:hAnsi="Times New Roman" w:cs="Times New Roman"/>
          <w:sz w:val="28"/>
          <w:szCs w:val="28"/>
          <w:lang w:val="uk-UA"/>
        </w:rPr>
        <w:t>метилпреднізолону</w:t>
      </w:r>
      <w:proofErr w:type="spellEnd"/>
      <w:r w:rsidR="004D32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B45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6B45">
        <w:rPr>
          <w:rFonts w:ascii="Times New Roman" w:hAnsi="Times New Roman" w:cs="Times New Roman"/>
          <w:sz w:val="28"/>
          <w:szCs w:val="28"/>
          <w:lang w:val="uk-UA"/>
        </w:rPr>
        <w:t>циклофосфаміду</w:t>
      </w:r>
      <w:proofErr w:type="spellEnd"/>
      <w:r w:rsidR="00856B4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BC6DC6">
        <w:rPr>
          <w:rFonts w:ascii="Times New Roman" w:hAnsi="Times New Roman" w:cs="Times New Roman"/>
          <w:sz w:val="28"/>
          <w:szCs w:val="28"/>
          <w:lang w:val="uk-UA"/>
        </w:rPr>
        <w:t>ритуксимабу</w:t>
      </w:r>
      <w:proofErr w:type="spellEnd"/>
      <w:r w:rsidR="00BC6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4F9CAC" w14:textId="6D816B72" w:rsidR="002360D3" w:rsidRPr="001E4E8D" w:rsidRDefault="002360D3" w:rsidP="001410E9">
      <w:pPr>
        <w:pStyle w:val="a3"/>
        <w:numPr>
          <w:ilvl w:val="1"/>
          <w:numId w:val="33"/>
        </w:numPr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E8D">
        <w:rPr>
          <w:rFonts w:ascii="Times New Roman" w:hAnsi="Times New Roman" w:cs="Times New Roman"/>
          <w:sz w:val="28"/>
          <w:szCs w:val="28"/>
          <w:lang w:val="uk-UA"/>
        </w:rPr>
        <w:t xml:space="preserve">Користь від лікування стероїдами інфікованих COVID-19 пацієнтів не визначена. Стероїди широко застосовувались у відділеннях інтенсивної терапії у хворих з 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1E4E8D">
        <w:rPr>
          <w:rFonts w:ascii="Times New Roman" w:hAnsi="Times New Roman" w:cs="Times New Roman"/>
          <w:sz w:val="28"/>
          <w:szCs w:val="28"/>
          <w:lang w:val="uk-UA"/>
        </w:rPr>
        <w:t>жкими вірусними інфекціями, але попередні дослідження за участю інфікованих SARS пацієнтів, продемонстрували продовження часу вірусного кліренсу на всіх стадіях захворювання. Можливим показанням до застосування с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 xml:space="preserve">тероїдів є протидія </w:t>
      </w:r>
      <w:proofErr w:type="spellStart"/>
      <w:r w:rsidR="00F150F4">
        <w:rPr>
          <w:rFonts w:ascii="Times New Roman" w:hAnsi="Times New Roman" w:cs="Times New Roman"/>
          <w:sz w:val="28"/>
          <w:szCs w:val="28"/>
          <w:lang w:val="uk-UA"/>
        </w:rPr>
        <w:t>цитокіновому</w:t>
      </w:r>
      <w:proofErr w:type="spellEnd"/>
      <w:r w:rsidRPr="001E4E8D">
        <w:rPr>
          <w:rFonts w:ascii="Times New Roman" w:hAnsi="Times New Roman" w:cs="Times New Roman"/>
          <w:sz w:val="28"/>
          <w:szCs w:val="28"/>
          <w:lang w:val="uk-UA"/>
        </w:rPr>
        <w:t xml:space="preserve"> шторму у важких випадках.</w:t>
      </w:r>
    </w:p>
    <w:p w14:paraId="6C7EF58E" w14:textId="1F92B0D2" w:rsidR="0059059A" w:rsidRDefault="006F566E" w:rsidP="001410E9">
      <w:pPr>
        <w:pStyle w:val="a3"/>
        <w:numPr>
          <w:ilvl w:val="1"/>
          <w:numId w:val="3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Ретельно контролюйте ШКФ у </w:t>
      </w:r>
      <w:r w:rsidR="00173B84">
        <w:rPr>
          <w:rFonts w:ascii="Times New Roman" w:hAnsi="Times New Roman" w:cs="Times New Roman"/>
          <w:sz w:val="28"/>
          <w:szCs w:val="28"/>
          <w:lang w:val="uk-UA"/>
        </w:rPr>
        <w:t xml:space="preserve">інфікованих </w:t>
      </w:r>
      <w:r w:rsidR="00173B84" w:rsidRPr="00921839">
        <w:rPr>
          <w:rFonts w:ascii="Times New Roman" w:hAnsi="Times New Roman" w:cs="Times New Roman"/>
          <w:sz w:val="28"/>
          <w:szCs w:val="28"/>
          <w:lang w:val="uk-UA"/>
        </w:rPr>
        <w:t>SARS-CoV-2</w:t>
      </w:r>
      <w:r w:rsidR="0017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хворих на</w:t>
      </w:r>
      <w:r w:rsidR="00540A70">
        <w:rPr>
          <w:rFonts w:ascii="Times New Roman" w:hAnsi="Times New Roman" w:cs="Times New Roman"/>
          <w:sz w:val="28"/>
          <w:szCs w:val="28"/>
          <w:lang w:val="uk-UA"/>
        </w:rPr>
        <w:t xml:space="preserve"> цукрови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40A70">
        <w:rPr>
          <w:rFonts w:ascii="Times New Roman" w:hAnsi="Times New Roman" w:cs="Times New Roman"/>
          <w:sz w:val="28"/>
          <w:szCs w:val="28"/>
          <w:lang w:val="uk-UA"/>
        </w:rPr>
        <w:t xml:space="preserve"> діабет</w:t>
      </w:r>
      <w:r w:rsidR="009525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3B84">
        <w:rPr>
          <w:rFonts w:ascii="Times New Roman" w:hAnsi="Times New Roman" w:cs="Times New Roman"/>
          <w:sz w:val="28"/>
          <w:szCs w:val="28"/>
          <w:lang w:val="uk-UA"/>
        </w:rPr>
        <w:t>У таких випадках слід утримуватись від з</w:t>
      </w:r>
      <w:r w:rsidR="00952504">
        <w:rPr>
          <w:rFonts w:ascii="Times New Roman" w:hAnsi="Times New Roman" w:cs="Times New Roman"/>
          <w:sz w:val="28"/>
          <w:szCs w:val="28"/>
          <w:lang w:val="uk-UA"/>
        </w:rPr>
        <w:t>астосування</w:t>
      </w:r>
      <w:r w:rsidR="0059059A" w:rsidRPr="00590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B84">
        <w:rPr>
          <w:rFonts w:ascii="Times New Roman" w:hAnsi="Times New Roman" w:cs="Times New Roman"/>
          <w:sz w:val="28"/>
          <w:szCs w:val="28"/>
          <w:lang w:val="uk-UA"/>
        </w:rPr>
        <w:t xml:space="preserve">пероральних </w:t>
      </w:r>
      <w:proofErr w:type="spellStart"/>
      <w:r w:rsidR="00173B84">
        <w:rPr>
          <w:rFonts w:ascii="Times New Roman" w:hAnsi="Times New Roman" w:cs="Times New Roman"/>
          <w:sz w:val="28"/>
          <w:szCs w:val="28"/>
          <w:lang w:val="uk-UA"/>
        </w:rPr>
        <w:t>антидіабетичних</w:t>
      </w:r>
      <w:proofErr w:type="spellEnd"/>
      <w:r w:rsidR="00173B84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засобів та інгібіторів </w:t>
      </w:r>
      <w:r w:rsidR="0059059A" w:rsidRPr="0059059A">
        <w:rPr>
          <w:rFonts w:ascii="Times New Roman" w:hAnsi="Times New Roman" w:cs="Times New Roman"/>
          <w:sz w:val="28"/>
          <w:szCs w:val="28"/>
          <w:lang w:val="uk-UA"/>
        </w:rPr>
        <w:t>SGLT2i</w:t>
      </w:r>
      <w:r w:rsidR="00D35BFC">
        <w:rPr>
          <w:rFonts w:ascii="Times New Roman" w:hAnsi="Times New Roman" w:cs="Times New Roman"/>
          <w:sz w:val="28"/>
          <w:szCs w:val="28"/>
          <w:lang w:val="uk-UA"/>
        </w:rPr>
        <w:t xml:space="preserve">. Розгляньте питання щодо переведення пацієнта </w:t>
      </w:r>
      <w:r w:rsidR="0030727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9059A" w:rsidRPr="00590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27A" w:rsidRPr="0059059A">
        <w:rPr>
          <w:rFonts w:ascii="Times New Roman" w:hAnsi="Times New Roman" w:cs="Times New Roman"/>
          <w:sz w:val="28"/>
          <w:szCs w:val="28"/>
          <w:lang w:val="uk-UA"/>
        </w:rPr>
        <w:t>інсулін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62BAE1" w14:textId="6E832D93" w:rsidR="00611D3E" w:rsidRPr="00611D3E" w:rsidRDefault="00316479" w:rsidP="001410E9">
      <w:pPr>
        <w:pStyle w:val="a3"/>
        <w:numPr>
          <w:ilvl w:val="1"/>
          <w:numId w:val="3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Оцініть рівень </w:t>
      </w:r>
      <w:proofErr w:type="spellStart"/>
      <w:r w:rsidRPr="00611D3E">
        <w:rPr>
          <w:rFonts w:ascii="Times New Roman" w:hAnsi="Times New Roman" w:cs="Times New Roman"/>
          <w:sz w:val="28"/>
          <w:szCs w:val="28"/>
          <w:lang w:val="uk-UA"/>
        </w:rPr>
        <w:t>імуносупресії</w:t>
      </w:r>
      <w:proofErr w:type="spellEnd"/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(кількість </w:t>
      </w:r>
      <w:r w:rsidR="002360D3">
        <w:rPr>
          <w:rFonts w:ascii="Times New Roman" w:hAnsi="Times New Roman" w:cs="Times New Roman"/>
          <w:sz w:val="28"/>
          <w:szCs w:val="28"/>
          <w:lang w:val="uk-UA"/>
        </w:rPr>
        <w:t>лейкоцитів крові</w:t>
      </w:r>
      <w:r w:rsidRPr="00611D3E">
        <w:rPr>
          <w:rFonts w:ascii="Times New Roman" w:hAnsi="Times New Roman" w:cs="Times New Roman"/>
          <w:sz w:val="28"/>
          <w:szCs w:val="28"/>
          <w:lang w:val="uk-UA"/>
        </w:rPr>
        <w:t>, імуноглобулін</w:t>
      </w:r>
      <w:r w:rsidR="002360D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11D3E">
        <w:rPr>
          <w:rFonts w:ascii="Times New Roman" w:hAnsi="Times New Roman" w:cs="Times New Roman"/>
          <w:sz w:val="28"/>
          <w:szCs w:val="28"/>
          <w:lang w:val="uk-UA"/>
        </w:rPr>
        <w:t>, CD19</w:t>
      </w:r>
      <w:r w:rsidR="002360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Т-клітин).</w:t>
      </w:r>
      <w:r w:rsidR="00611D3E" w:rsidRPr="00611D3E">
        <w:rPr>
          <w:lang w:val="uk-UA"/>
        </w:rPr>
        <w:t xml:space="preserve"> </w:t>
      </w:r>
      <w:r w:rsidR="00611D3E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лейкопенії / </w:t>
      </w:r>
      <w:proofErr w:type="spellStart"/>
      <w:r w:rsidR="00611D3E" w:rsidRPr="00611D3E">
        <w:rPr>
          <w:rFonts w:ascii="Times New Roman" w:hAnsi="Times New Roman" w:cs="Times New Roman"/>
          <w:sz w:val="28"/>
          <w:szCs w:val="28"/>
          <w:lang w:val="uk-UA"/>
        </w:rPr>
        <w:t>лімфопенії</w:t>
      </w:r>
      <w:proofErr w:type="spellEnd"/>
      <w:r w:rsidR="00611D3E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1D3E" w:rsidRPr="00611D3E">
        <w:rPr>
          <w:rFonts w:ascii="Times New Roman" w:hAnsi="Times New Roman" w:cs="Times New Roman"/>
          <w:sz w:val="28"/>
          <w:szCs w:val="28"/>
          <w:lang w:val="uk-UA"/>
        </w:rPr>
        <w:t>зменшіть</w:t>
      </w:r>
      <w:proofErr w:type="spellEnd"/>
      <w:r w:rsidR="00611D3E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дозу цитотоксичних засобів доки рівень лейкоцитів крові не відновиться</w:t>
      </w:r>
      <w:r w:rsidR="00F150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1D3E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A827C6" w14:textId="7BB2749F" w:rsidR="00611D3E" w:rsidRDefault="004350F4" w:rsidP="001410E9">
      <w:pPr>
        <w:pStyle w:val="a3"/>
        <w:numPr>
          <w:ilvl w:val="1"/>
          <w:numId w:val="33"/>
        </w:numPr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пацієнтів</w:t>
      </w:r>
      <w:r w:rsidR="00DF67D3">
        <w:rPr>
          <w:rFonts w:ascii="Times New Roman" w:hAnsi="Times New Roman" w:cs="Times New Roman"/>
          <w:sz w:val="28"/>
          <w:szCs w:val="28"/>
          <w:lang w:val="uk-UA"/>
        </w:rPr>
        <w:t xml:space="preserve">, які отримували </w:t>
      </w:r>
      <w:proofErr w:type="spellStart"/>
      <w:r w:rsidR="00DF67D3">
        <w:rPr>
          <w:rFonts w:ascii="Times New Roman" w:hAnsi="Times New Roman" w:cs="Times New Roman"/>
          <w:sz w:val="28"/>
          <w:szCs w:val="28"/>
          <w:lang w:val="uk-UA"/>
        </w:rPr>
        <w:t>ритуксимаб</w:t>
      </w:r>
      <w:proofErr w:type="spellEnd"/>
      <w:r w:rsidR="00DF6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9B8">
        <w:rPr>
          <w:rFonts w:ascii="Times New Roman" w:hAnsi="Times New Roman" w:cs="Times New Roman"/>
          <w:sz w:val="28"/>
          <w:szCs w:val="28"/>
          <w:lang w:val="uk-UA"/>
        </w:rPr>
        <w:t xml:space="preserve">протягом останніх 12 місяців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визначити рівень</w:t>
      </w:r>
      <w:r w:rsidRPr="00435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7419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5026C4">
        <w:rPr>
          <w:rFonts w:ascii="Times New Roman" w:hAnsi="Times New Roman" w:cs="Times New Roman"/>
          <w:sz w:val="28"/>
          <w:szCs w:val="28"/>
          <w:lang w:val="uk-UA"/>
        </w:rPr>
        <w:t>концентрація</w:t>
      </w:r>
      <w:r w:rsidR="00C0756F" w:rsidRPr="00C07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756F" w:rsidRPr="00C0756F">
        <w:rPr>
          <w:rFonts w:ascii="Times New Roman" w:hAnsi="Times New Roman" w:cs="Times New Roman"/>
          <w:sz w:val="28"/>
          <w:szCs w:val="28"/>
          <w:lang w:val="uk-UA"/>
        </w:rPr>
        <w:t>IgG</w:t>
      </w:r>
      <w:proofErr w:type="spellEnd"/>
      <w:r w:rsidR="00502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56F" w:rsidRPr="00C0756F">
        <w:rPr>
          <w:rFonts w:ascii="Times New Roman" w:hAnsi="Times New Roman" w:cs="Times New Roman"/>
          <w:sz w:val="28"/>
          <w:szCs w:val="28"/>
          <w:lang w:val="uk-UA"/>
        </w:rPr>
        <w:t>&lt; 500 </w:t>
      </w:r>
      <w:r w:rsidR="005026C4">
        <w:rPr>
          <w:rFonts w:ascii="Times New Roman" w:hAnsi="Times New Roman" w:cs="Times New Roman"/>
          <w:sz w:val="28"/>
          <w:szCs w:val="28"/>
          <w:lang w:val="uk-UA"/>
        </w:rPr>
        <w:t>мг</w:t>
      </w:r>
      <w:r w:rsidR="00C0756F" w:rsidRPr="00C0756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026C4">
        <w:rPr>
          <w:rFonts w:ascii="Times New Roman" w:hAnsi="Times New Roman" w:cs="Times New Roman"/>
          <w:sz w:val="28"/>
          <w:szCs w:val="28"/>
          <w:lang w:val="uk-UA"/>
        </w:rPr>
        <w:t>дл</w:t>
      </w:r>
      <w:proofErr w:type="spellEnd"/>
      <w:r w:rsidR="00316479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1D3E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довенного</w:t>
      </w:r>
      <w:proofErr w:type="spellEnd"/>
      <w:r w:rsidR="00611D3E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введення </w:t>
      </w:r>
      <w:proofErr w:type="spellStart"/>
      <w:r w:rsidR="00611D3E" w:rsidRPr="00611D3E">
        <w:rPr>
          <w:rFonts w:ascii="Times New Roman" w:hAnsi="Times New Roman" w:cs="Times New Roman"/>
          <w:sz w:val="28"/>
          <w:szCs w:val="28"/>
          <w:lang w:val="uk-UA"/>
        </w:rPr>
        <w:t>IgG</w:t>
      </w:r>
      <w:proofErr w:type="spellEnd"/>
      <w:r w:rsidR="00880EE0" w:rsidRPr="00880EE0">
        <w:rPr>
          <w:lang w:val="uk-UA"/>
        </w:rPr>
        <w:t xml:space="preserve"> </w:t>
      </w:r>
      <w:r w:rsidR="00880EE0" w:rsidRPr="00880EE0">
        <w:rPr>
          <w:rFonts w:ascii="Times New Roman" w:hAnsi="Times New Roman" w:cs="Times New Roman"/>
          <w:sz w:val="28"/>
          <w:szCs w:val="28"/>
          <w:lang w:val="uk-UA"/>
        </w:rPr>
        <w:t>(200–300 </w:t>
      </w:r>
      <w:r w:rsidR="00880EE0">
        <w:rPr>
          <w:rFonts w:ascii="Times New Roman" w:hAnsi="Times New Roman" w:cs="Times New Roman"/>
          <w:sz w:val="28"/>
          <w:szCs w:val="28"/>
          <w:lang w:val="uk-UA"/>
        </w:rPr>
        <w:t>мг</w:t>
      </w:r>
      <w:r w:rsidR="00880EE0" w:rsidRPr="00880EE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80EE0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880EE0" w:rsidRPr="00880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EE0">
        <w:rPr>
          <w:rFonts w:ascii="Times New Roman" w:hAnsi="Times New Roman" w:cs="Times New Roman"/>
          <w:sz w:val="28"/>
          <w:szCs w:val="28"/>
          <w:lang w:val="uk-UA"/>
        </w:rPr>
        <w:t>кожні 3-4 тижні</w:t>
      </w:r>
      <w:r w:rsidR="00880EE0" w:rsidRPr="00880E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1D3E"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, що може </w:t>
      </w:r>
      <w:r w:rsidR="00E97D3C">
        <w:rPr>
          <w:rFonts w:ascii="Times New Roman" w:hAnsi="Times New Roman" w:cs="Times New Roman"/>
          <w:sz w:val="28"/>
          <w:szCs w:val="28"/>
          <w:lang w:val="uk-UA"/>
        </w:rPr>
        <w:t>зменшити ризик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вторинних інфекцій.</w:t>
      </w:r>
    </w:p>
    <w:p w14:paraId="4740C1BD" w14:textId="3FB6F918" w:rsidR="00924ED2" w:rsidRDefault="00ED2C9D" w:rsidP="001410E9">
      <w:pPr>
        <w:pStyle w:val="a3"/>
        <w:numPr>
          <w:ilvl w:val="1"/>
          <w:numId w:val="33"/>
        </w:numPr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пацієнтів з </w:t>
      </w:r>
      <w:r w:rsidRPr="00ED2C9D">
        <w:rPr>
          <w:rFonts w:ascii="Times New Roman" w:hAnsi="Times New Roman" w:cs="Times New Roman"/>
          <w:sz w:val="28"/>
          <w:szCs w:val="28"/>
          <w:lang w:val="uk-UA"/>
        </w:rPr>
        <w:t>ANCA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>-асоційовани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 xml:space="preserve"> васкуліт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6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 xml:space="preserve">з ураженням </w:t>
      </w:r>
      <w:r w:rsidR="004350F4">
        <w:rPr>
          <w:rFonts w:ascii="Times New Roman" w:hAnsi="Times New Roman" w:cs="Times New Roman"/>
          <w:sz w:val="28"/>
          <w:szCs w:val="28"/>
          <w:lang w:val="uk-UA"/>
        </w:rPr>
        <w:t>легень</w:t>
      </w:r>
      <w:r w:rsidR="0036142A">
        <w:rPr>
          <w:rFonts w:ascii="Times New Roman" w:hAnsi="Times New Roman" w:cs="Times New Roman"/>
          <w:sz w:val="28"/>
          <w:szCs w:val="28"/>
          <w:lang w:val="uk-UA"/>
        </w:rPr>
        <w:t xml:space="preserve"> або хворих на </w:t>
      </w:r>
      <w:proofErr w:type="spellStart"/>
      <w:r w:rsidR="004350F4">
        <w:rPr>
          <w:rFonts w:ascii="Times New Roman" w:hAnsi="Times New Roman" w:cs="Times New Roman"/>
          <w:sz w:val="28"/>
          <w:szCs w:val="28"/>
          <w:lang w:val="uk-UA"/>
        </w:rPr>
        <w:t>люпус-нефрит</w:t>
      </w:r>
      <w:proofErr w:type="spellEnd"/>
      <w:r w:rsidR="0036142A">
        <w:rPr>
          <w:rFonts w:ascii="Times New Roman" w:hAnsi="Times New Roman" w:cs="Times New Roman"/>
          <w:sz w:val="28"/>
          <w:szCs w:val="28"/>
          <w:lang w:val="uk-UA"/>
        </w:rPr>
        <w:t xml:space="preserve"> та/або ураженням 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 xml:space="preserve">інших органів, </w:t>
      </w:r>
      <w:proofErr w:type="spellStart"/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>плазмаферез</w:t>
      </w:r>
      <w:proofErr w:type="spellEnd"/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</w:t>
      </w:r>
      <w:r w:rsidR="00F169CD">
        <w:rPr>
          <w:rFonts w:ascii="Times New Roman" w:hAnsi="Times New Roman" w:cs="Times New Roman"/>
          <w:sz w:val="28"/>
          <w:szCs w:val="28"/>
          <w:lang w:val="uk-UA"/>
        </w:rPr>
        <w:t>терапією вибору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9CD">
        <w:rPr>
          <w:rFonts w:ascii="Times New Roman" w:hAnsi="Times New Roman" w:cs="Times New Roman"/>
          <w:sz w:val="28"/>
          <w:szCs w:val="28"/>
          <w:lang w:val="uk-UA"/>
        </w:rPr>
        <w:t>на додаток</w:t>
      </w:r>
      <w:r w:rsidR="00210E52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 xml:space="preserve"> кортикостероїдів (IV міні-</w:t>
      </w:r>
      <w:r w:rsidR="00210E52">
        <w:rPr>
          <w:rFonts w:ascii="Times New Roman" w:hAnsi="Times New Roman" w:cs="Times New Roman"/>
          <w:sz w:val="28"/>
          <w:szCs w:val="28"/>
          <w:lang w:val="uk-UA"/>
        </w:rPr>
        <w:t>пульс доз</w:t>
      </w:r>
      <w:r w:rsidR="00E5683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E5683E">
        <w:rPr>
          <w:rFonts w:ascii="Times New Roman" w:hAnsi="Times New Roman" w:cs="Times New Roman"/>
          <w:sz w:val="28"/>
          <w:szCs w:val="28"/>
          <w:lang w:val="uk-UA"/>
        </w:rPr>
        <w:t>метилпреднізолону</w:t>
      </w:r>
      <w:proofErr w:type="spellEnd"/>
      <w:r w:rsidR="00210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B1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>250</w:t>
      </w:r>
      <w:r w:rsidR="00F47B13">
        <w:rPr>
          <w:rFonts w:ascii="Times New Roman" w:hAnsi="Times New Roman" w:cs="Times New Roman"/>
          <w:sz w:val="28"/>
          <w:szCs w:val="28"/>
          <w:lang w:val="uk-UA"/>
        </w:rPr>
        <w:t xml:space="preserve"> мг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83E">
        <w:rPr>
          <w:rFonts w:ascii="Times New Roman" w:hAnsi="Times New Roman" w:cs="Times New Roman"/>
          <w:sz w:val="28"/>
          <w:szCs w:val="28"/>
          <w:lang w:val="uk-UA"/>
        </w:rPr>
        <w:t>з наступним переведенням</w:t>
      </w:r>
      <w:r w:rsidR="00F5571F">
        <w:rPr>
          <w:rFonts w:ascii="Times New Roman" w:hAnsi="Times New Roman" w:cs="Times New Roman"/>
          <w:sz w:val="28"/>
          <w:szCs w:val="28"/>
          <w:lang w:val="uk-UA"/>
        </w:rPr>
        <w:t xml:space="preserve"> на пероральний прийом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 xml:space="preserve"> 1 мг/кг/добу). Так</w:t>
      </w:r>
      <w:r w:rsidR="00A12D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 xml:space="preserve"> пацієнт</w:t>
      </w:r>
      <w:r w:rsidR="00A12DB2">
        <w:rPr>
          <w:rFonts w:ascii="Times New Roman" w:hAnsi="Times New Roman" w:cs="Times New Roman"/>
          <w:sz w:val="28"/>
          <w:szCs w:val="28"/>
          <w:lang w:val="uk-UA"/>
        </w:rPr>
        <w:t>и потребують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 xml:space="preserve"> щод</w:t>
      </w:r>
      <w:r w:rsidR="00A12DB2">
        <w:rPr>
          <w:rFonts w:ascii="Times New Roman" w:hAnsi="Times New Roman" w:cs="Times New Roman"/>
          <w:sz w:val="28"/>
          <w:szCs w:val="28"/>
          <w:lang w:val="uk-UA"/>
        </w:rPr>
        <w:t>енного контролю</w:t>
      </w:r>
      <w:r w:rsidR="00924ED2" w:rsidRPr="00924ED2">
        <w:rPr>
          <w:rFonts w:ascii="Times New Roman" w:hAnsi="Times New Roman" w:cs="Times New Roman"/>
          <w:sz w:val="28"/>
          <w:szCs w:val="28"/>
          <w:lang w:val="uk-UA"/>
        </w:rPr>
        <w:t xml:space="preserve"> щодо коригування лікарських засобів</w:t>
      </w:r>
      <w:r w:rsidR="004350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2D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5E0DB2" w14:textId="45D0BBC0" w:rsidR="00880EE0" w:rsidRPr="00880EE0" w:rsidRDefault="00880EE0" w:rsidP="001410E9">
      <w:pPr>
        <w:pStyle w:val="a3"/>
        <w:numPr>
          <w:ilvl w:val="1"/>
          <w:numId w:val="33"/>
        </w:numPr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EE0">
        <w:rPr>
          <w:rFonts w:ascii="Times New Roman" w:hAnsi="Times New Roman" w:cs="Times New Roman"/>
          <w:sz w:val="28"/>
          <w:szCs w:val="28"/>
          <w:lang w:val="uk-UA"/>
        </w:rPr>
        <w:t xml:space="preserve">Якщо показаний </w:t>
      </w:r>
      <w:proofErr w:type="spellStart"/>
      <w:r w:rsidR="00BB2F0D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Pr="00880E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1CF1">
        <w:rPr>
          <w:rFonts w:ascii="Times New Roman" w:hAnsi="Times New Roman" w:cs="Times New Roman"/>
          <w:sz w:val="28"/>
          <w:szCs w:val="28"/>
          <w:lang w:val="uk-UA"/>
        </w:rPr>
        <w:t>зма</w:t>
      </w:r>
      <w:r w:rsidRPr="00880EE0">
        <w:rPr>
          <w:rFonts w:ascii="Times New Roman" w:hAnsi="Times New Roman" w:cs="Times New Roman"/>
          <w:sz w:val="28"/>
          <w:szCs w:val="28"/>
          <w:lang w:val="uk-UA"/>
        </w:rPr>
        <w:t>ферез</w:t>
      </w:r>
      <w:proofErr w:type="spellEnd"/>
      <w:r w:rsidRPr="00880EE0">
        <w:rPr>
          <w:rFonts w:ascii="Times New Roman" w:hAnsi="Times New Roman" w:cs="Times New Roman"/>
          <w:sz w:val="28"/>
          <w:szCs w:val="28"/>
          <w:lang w:val="uk-UA"/>
        </w:rPr>
        <w:t>, для заміщення використовуйте свіжозаморожену плазму, а не альбумін</w:t>
      </w:r>
      <w:r w:rsidR="00435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0AAF33" w14:textId="14B480B7" w:rsidR="00611D3E" w:rsidRDefault="00611D3E" w:rsidP="001410E9">
      <w:pPr>
        <w:pStyle w:val="a3"/>
        <w:numPr>
          <w:ilvl w:val="1"/>
          <w:numId w:val="3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Не зупиняйте </w:t>
      </w:r>
      <w:r w:rsidR="00E97D3C" w:rsidRPr="00E97D3C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призначене </w:t>
      </w:r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</w:t>
      </w:r>
      <w:proofErr w:type="spellStart"/>
      <w:r w:rsidRPr="00611D3E">
        <w:rPr>
          <w:rFonts w:ascii="Times New Roman" w:hAnsi="Times New Roman" w:cs="Times New Roman"/>
          <w:sz w:val="28"/>
          <w:szCs w:val="28"/>
          <w:lang w:val="uk-UA"/>
        </w:rPr>
        <w:t>іАПФ</w:t>
      </w:r>
      <w:proofErr w:type="spellEnd"/>
      <w:r w:rsidRPr="00611D3E">
        <w:rPr>
          <w:rFonts w:ascii="Times New Roman" w:hAnsi="Times New Roman" w:cs="Times New Roman"/>
          <w:sz w:val="28"/>
          <w:szCs w:val="28"/>
          <w:lang w:val="uk-UA"/>
        </w:rPr>
        <w:t xml:space="preserve"> або БРА</w:t>
      </w:r>
      <w:r w:rsidR="004350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94CA58" w14:textId="375864C1" w:rsidR="004D4E7D" w:rsidRDefault="00383082" w:rsidP="001410E9">
      <w:pPr>
        <w:pStyle w:val="a3"/>
        <w:numPr>
          <w:ilvl w:val="1"/>
          <w:numId w:val="3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6D2">
        <w:rPr>
          <w:rFonts w:ascii="Times New Roman" w:hAnsi="Times New Roman" w:cs="Times New Roman"/>
          <w:sz w:val="28"/>
          <w:szCs w:val="28"/>
          <w:lang w:val="uk-UA"/>
        </w:rPr>
        <w:t xml:space="preserve">Повторно оцініть функцію нирок у хворих на ХХН, які одужали від COVID-19. Обґрунтуйте терміновість повторного оцінювання залежно від базової ШКФ, </w:t>
      </w:r>
      <w:proofErr w:type="spellStart"/>
      <w:r w:rsidRPr="00F606D2"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 w:rsidRPr="00F606D2">
        <w:rPr>
          <w:rFonts w:ascii="Times New Roman" w:hAnsi="Times New Roman" w:cs="Times New Roman"/>
          <w:sz w:val="28"/>
          <w:szCs w:val="28"/>
          <w:lang w:val="uk-UA"/>
        </w:rPr>
        <w:t xml:space="preserve"> та клінічних обставин</w:t>
      </w:r>
      <w:r w:rsidR="00E97D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BAA2F3" w14:textId="402FC3CC" w:rsidR="004350F4" w:rsidRDefault="004350F4" w:rsidP="001410E9">
      <w:pPr>
        <w:pStyle w:val="a3"/>
        <w:numPr>
          <w:ilvl w:val="1"/>
          <w:numId w:val="3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Подальший об'єм та частота моніторингу визначається стадією ХХН.</w:t>
      </w:r>
    </w:p>
    <w:p w14:paraId="3E6AEBBD" w14:textId="53F045AD" w:rsidR="00E97D3C" w:rsidRDefault="00E97D3C" w:rsidP="00E97D3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ADDEE1" w14:textId="6EDC9F5F" w:rsidR="00E97D3C" w:rsidRPr="00E97D3C" w:rsidRDefault="00E97D3C" w:rsidP="00E97D3C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7D3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</w:p>
    <w:p w14:paraId="3CAD4519" w14:textId="0EADF9EE" w:rsidR="007769B7" w:rsidRDefault="007769B7" w:rsidP="00753DA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9B7">
        <w:rPr>
          <w:rFonts w:ascii="Times New Roman" w:hAnsi="Times New Roman" w:cs="Times New Roman"/>
          <w:sz w:val="28"/>
          <w:szCs w:val="28"/>
        </w:rPr>
        <w:t>The National Health Commission of PRC. Guideline for diagnosis and treatment of novel coronavirus disease (version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9B7">
        <w:rPr>
          <w:rFonts w:ascii="Times New Roman" w:hAnsi="Times New Roman" w:cs="Times New Roman"/>
          <w:sz w:val="28"/>
          <w:szCs w:val="28"/>
        </w:rPr>
        <w:t>[OB/EL]. 2020.02.18.</w:t>
      </w:r>
    </w:p>
    <w:p w14:paraId="13CAD2CF" w14:textId="703B4790" w:rsidR="0081196D" w:rsidRDefault="009E1788" w:rsidP="00753DA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788">
        <w:rPr>
          <w:rFonts w:ascii="Times New Roman" w:hAnsi="Times New Roman" w:cs="Times New Roman"/>
          <w:sz w:val="28"/>
          <w:szCs w:val="28"/>
        </w:rPr>
        <w:t>ERA-EDTA information for nephrologists and other professionals on prevention and treatment of covid-19 infections in kidney patients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1788">
        <w:rPr>
          <w:rFonts w:ascii="Times New Roman" w:hAnsi="Times New Roman" w:cs="Times New Roman"/>
          <w:sz w:val="28"/>
          <w:szCs w:val="28"/>
        </w:rPr>
        <w:t>Available from: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96D" w:rsidRPr="0081196D">
        <w:rPr>
          <w:rFonts w:ascii="Times New Roman" w:hAnsi="Times New Roman" w:cs="Times New Roman"/>
          <w:sz w:val="28"/>
          <w:szCs w:val="28"/>
        </w:rPr>
        <w:t>https://www.era-edta.org/en/covid-19-news-and-information/</w:t>
      </w:r>
    </w:p>
    <w:p w14:paraId="3D7C1263" w14:textId="4F09C685" w:rsidR="0042329E" w:rsidRPr="002A4D82" w:rsidRDefault="0042329E" w:rsidP="0042329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D82">
        <w:rPr>
          <w:rFonts w:ascii="Times New Roman" w:hAnsi="Times New Roman" w:cs="Times New Roman"/>
          <w:sz w:val="28"/>
          <w:szCs w:val="28"/>
        </w:rPr>
        <w:t xml:space="preserve">Andrew S. </w:t>
      </w:r>
      <w:proofErr w:type="spellStart"/>
      <w:r w:rsidRPr="002A4D82">
        <w:rPr>
          <w:rFonts w:ascii="Times New Roman" w:hAnsi="Times New Roman" w:cs="Times New Roman"/>
          <w:sz w:val="28"/>
          <w:szCs w:val="28"/>
        </w:rPr>
        <w:t>Bomback</w:t>
      </w:r>
      <w:proofErr w:type="spellEnd"/>
      <w:r w:rsidRPr="002A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D82">
        <w:rPr>
          <w:rFonts w:ascii="Times New Roman" w:hAnsi="Times New Roman" w:cs="Times New Roman"/>
          <w:sz w:val="28"/>
          <w:szCs w:val="28"/>
        </w:rPr>
        <w:t>Pietro</w:t>
      </w:r>
      <w:proofErr w:type="spellEnd"/>
      <w:r w:rsidRPr="002A4D82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2A4D82">
        <w:rPr>
          <w:rFonts w:ascii="Times New Roman" w:hAnsi="Times New Roman" w:cs="Times New Roman"/>
          <w:sz w:val="28"/>
          <w:szCs w:val="28"/>
        </w:rPr>
        <w:t>Canetta</w:t>
      </w:r>
      <w:proofErr w:type="spellEnd"/>
      <w:r w:rsidRPr="002A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D82">
        <w:rPr>
          <w:rFonts w:ascii="Times New Roman" w:hAnsi="Times New Roman" w:cs="Times New Roman"/>
          <w:sz w:val="28"/>
          <w:szCs w:val="28"/>
        </w:rPr>
        <w:t>Wooin</w:t>
      </w:r>
      <w:proofErr w:type="spellEnd"/>
      <w:r w:rsidRPr="002A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D82">
        <w:rPr>
          <w:rFonts w:ascii="Times New Roman" w:hAnsi="Times New Roman" w:cs="Times New Roman"/>
          <w:sz w:val="28"/>
          <w:szCs w:val="28"/>
        </w:rPr>
        <w:t>Ahn</w:t>
      </w:r>
      <w:proofErr w:type="spellEnd"/>
      <w:r w:rsidRPr="002A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D82">
        <w:rPr>
          <w:rFonts w:ascii="Times New Roman" w:hAnsi="Times New Roman" w:cs="Times New Roman"/>
          <w:sz w:val="28"/>
          <w:szCs w:val="28"/>
        </w:rPr>
        <w:t>Syeda</w:t>
      </w:r>
      <w:proofErr w:type="spellEnd"/>
      <w:r w:rsidRPr="002A4D82">
        <w:rPr>
          <w:rFonts w:ascii="Times New Roman" w:hAnsi="Times New Roman" w:cs="Times New Roman"/>
          <w:sz w:val="28"/>
          <w:szCs w:val="28"/>
        </w:rPr>
        <w:t xml:space="preserve"> B. Ahmad, Jai Radhakrishnan and Gerald B. Appel</w:t>
      </w:r>
      <w:r w:rsidR="002A4D82" w:rsidRPr="002A4D82">
        <w:rPr>
          <w:rFonts w:ascii="Times New Roman" w:hAnsi="Times New Roman" w:cs="Times New Roman"/>
          <w:sz w:val="28"/>
          <w:szCs w:val="28"/>
        </w:rPr>
        <w:t xml:space="preserve">. </w:t>
      </w:r>
      <w:r w:rsidRPr="002A4D82">
        <w:rPr>
          <w:rFonts w:ascii="Times New Roman" w:hAnsi="Times New Roman" w:cs="Times New Roman"/>
          <w:sz w:val="28"/>
          <w:szCs w:val="28"/>
        </w:rPr>
        <w:t>CJASN June 2020, 15 (6) 876-879; DOI: https://doi.org/10.2215/CJN.04530420</w:t>
      </w:r>
    </w:p>
    <w:p w14:paraId="4B5ADEB9" w14:textId="0F2D0DFD" w:rsidR="0041596B" w:rsidRDefault="0041596B" w:rsidP="00753DA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96B">
        <w:rPr>
          <w:rFonts w:ascii="Times New Roman" w:hAnsi="Times New Roman" w:cs="Times New Roman"/>
          <w:sz w:val="28"/>
          <w:szCs w:val="28"/>
        </w:rPr>
        <w:t>Ulu</w:t>
      </w:r>
      <w:proofErr w:type="spellEnd"/>
      <w:r w:rsidRPr="0041596B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Pr="0041596B">
        <w:rPr>
          <w:rFonts w:ascii="Times New Roman" w:hAnsi="Times New Roman" w:cs="Times New Roman"/>
          <w:sz w:val="28"/>
          <w:szCs w:val="28"/>
        </w:rPr>
        <w:t>Gungor</w:t>
      </w:r>
      <w:proofErr w:type="spellEnd"/>
      <w:r w:rsidRPr="0041596B">
        <w:rPr>
          <w:rFonts w:ascii="Times New Roman" w:hAnsi="Times New Roman" w:cs="Times New Roman"/>
          <w:sz w:val="28"/>
          <w:szCs w:val="28"/>
        </w:rPr>
        <w:t xml:space="preserve"> O, </w:t>
      </w:r>
      <w:proofErr w:type="spellStart"/>
      <w:r w:rsidRPr="0041596B">
        <w:rPr>
          <w:rFonts w:ascii="Times New Roman" w:hAnsi="Times New Roman" w:cs="Times New Roman"/>
          <w:sz w:val="28"/>
          <w:szCs w:val="28"/>
        </w:rPr>
        <w:t>Gok</w:t>
      </w:r>
      <w:proofErr w:type="spellEnd"/>
      <w:r w:rsidRPr="00415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6B">
        <w:rPr>
          <w:rFonts w:ascii="Times New Roman" w:hAnsi="Times New Roman" w:cs="Times New Roman"/>
          <w:sz w:val="28"/>
          <w:szCs w:val="28"/>
        </w:rPr>
        <w:t>Oguz</w:t>
      </w:r>
      <w:proofErr w:type="spellEnd"/>
      <w:r w:rsidRPr="0041596B">
        <w:rPr>
          <w:rFonts w:ascii="Times New Roman" w:hAnsi="Times New Roman" w:cs="Times New Roman"/>
          <w:sz w:val="28"/>
          <w:szCs w:val="28"/>
        </w:rPr>
        <w:t xml:space="preserve"> E, </w:t>
      </w:r>
      <w:proofErr w:type="spellStart"/>
      <w:r w:rsidRPr="0041596B">
        <w:rPr>
          <w:rFonts w:ascii="Times New Roman" w:hAnsi="Times New Roman" w:cs="Times New Roman"/>
          <w:sz w:val="28"/>
          <w:szCs w:val="28"/>
        </w:rPr>
        <w:t>Hasbal</w:t>
      </w:r>
      <w:proofErr w:type="spellEnd"/>
      <w:r w:rsidRPr="0041596B">
        <w:rPr>
          <w:rFonts w:ascii="Times New Roman" w:hAnsi="Times New Roman" w:cs="Times New Roman"/>
          <w:sz w:val="28"/>
          <w:szCs w:val="28"/>
        </w:rPr>
        <w:t xml:space="preserve"> NB, </w:t>
      </w:r>
      <w:proofErr w:type="spellStart"/>
      <w:r w:rsidRPr="0041596B">
        <w:rPr>
          <w:rFonts w:ascii="Times New Roman" w:hAnsi="Times New Roman" w:cs="Times New Roman"/>
          <w:sz w:val="28"/>
          <w:szCs w:val="28"/>
        </w:rPr>
        <w:t>Turgut</w:t>
      </w:r>
      <w:proofErr w:type="spellEnd"/>
      <w:r w:rsidRPr="0041596B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Pr="0041596B">
        <w:rPr>
          <w:rFonts w:ascii="Times New Roman" w:hAnsi="Times New Roman" w:cs="Times New Roman"/>
          <w:sz w:val="28"/>
          <w:szCs w:val="28"/>
        </w:rPr>
        <w:t>Arici</w:t>
      </w:r>
      <w:proofErr w:type="spellEnd"/>
      <w:r w:rsidRPr="0041596B">
        <w:rPr>
          <w:rFonts w:ascii="Times New Roman" w:hAnsi="Times New Roman" w:cs="Times New Roman"/>
          <w:sz w:val="28"/>
          <w:szCs w:val="28"/>
        </w:rPr>
        <w:t xml:space="preserve"> M. COVID-19: a novel menace for the practice of nephrology and how to manage it with minor devastation</w:t>
      </w:r>
      <w:proofErr w:type="gramStart"/>
      <w:r w:rsidRPr="0041596B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Pr="0041596B">
        <w:rPr>
          <w:rFonts w:ascii="Times New Roman" w:hAnsi="Times New Roman" w:cs="Times New Roman"/>
          <w:sz w:val="28"/>
          <w:szCs w:val="28"/>
        </w:rPr>
        <w:t xml:space="preserve"> Ren Fail. 2020</w:t>
      </w:r>
      <w:proofErr w:type="gramStart"/>
      <w:r w:rsidRPr="0041596B">
        <w:rPr>
          <w:rFonts w:ascii="Times New Roman" w:hAnsi="Times New Roman" w:cs="Times New Roman"/>
          <w:sz w:val="28"/>
          <w:szCs w:val="28"/>
        </w:rPr>
        <w:t>;42</w:t>
      </w:r>
      <w:proofErr w:type="gramEnd"/>
      <w:r w:rsidRPr="0041596B">
        <w:rPr>
          <w:rFonts w:ascii="Times New Roman" w:hAnsi="Times New Roman" w:cs="Times New Roman"/>
          <w:sz w:val="28"/>
          <w:szCs w:val="28"/>
        </w:rPr>
        <w:t>(1):710-725. doi:10.1080/0886022X.2020.1797791</w:t>
      </w:r>
    </w:p>
    <w:p w14:paraId="79397434" w14:textId="21DAF79B" w:rsidR="008F6569" w:rsidRDefault="008F6569" w:rsidP="00753DA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569">
        <w:rPr>
          <w:rFonts w:ascii="Times New Roman" w:hAnsi="Times New Roman" w:cs="Times New Roman"/>
          <w:sz w:val="28"/>
          <w:szCs w:val="28"/>
        </w:rPr>
        <w:t>World Health Organization. (‎2020)‎. COVID-19 and the use of angiotensin-converting enzyme inhibitors and receptor blockers: scientific brief, 7 May 2020. World Health Organization. https://apps.who.int/iris/handle/10665/332021.</w:t>
      </w:r>
    </w:p>
    <w:p w14:paraId="197CDB0E" w14:textId="42EC23E4" w:rsidR="002F5535" w:rsidRPr="00753DA9" w:rsidRDefault="00C86655" w:rsidP="001C537B">
      <w:pPr>
        <w:pStyle w:val="a3"/>
        <w:numPr>
          <w:ilvl w:val="0"/>
          <w:numId w:val="30"/>
        </w:numPr>
        <w:spacing w:after="0"/>
        <w:jc w:val="both"/>
      </w:pPr>
      <w:r w:rsidRPr="001B738E">
        <w:rPr>
          <w:rFonts w:ascii="Times New Roman" w:hAnsi="Times New Roman" w:cs="Times New Roman"/>
          <w:sz w:val="28"/>
          <w:szCs w:val="28"/>
        </w:rPr>
        <w:t xml:space="preserve">Kidney Care UK. </w:t>
      </w:r>
      <w:r w:rsidR="00753DA9" w:rsidRPr="001B738E">
        <w:rPr>
          <w:rFonts w:ascii="Times New Roman" w:hAnsi="Times New Roman" w:cs="Times New Roman"/>
          <w:sz w:val="28"/>
          <w:szCs w:val="28"/>
        </w:rPr>
        <w:t>Coronavirus (Covid-19) guidance for patients with kidney disease</w:t>
      </w:r>
      <w:r w:rsidR="004B718B" w:rsidRPr="001B738E">
        <w:rPr>
          <w:rFonts w:ascii="Times New Roman" w:hAnsi="Times New Roman" w:cs="Times New Roman"/>
          <w:sz w:val="28"/>
          <w:szCs w:val="28"/>
        </w:rPr>
        <w:t xml:space="preserve">. </w:t>
      </w:r>
      <w:r w:rsidRPr="001B738E">
        <w:rPr>
          <w:rFonts w:ascii="Times New Roman" w:hAnsi="Times New Roman" w:cs="Times New Roman"/>
          <w:sz w:val="28"/>
          <w:szCs w:val="28"/>
        </w:rPr>
        <w:t>Available from: https://www.kidneycareuk.org/news-and-campaigns/coronavirus-advice/#locallockdown</w:t>
      </w:r>
    </w:p>
    <w:sectPr w:rsidR="002F5535" w:rsidRPr="00753DA9" w:rsidSect="000A18F2">
      <w:footerReference w:type="default" r:id="rId8"/>
      <w:pgSz w:w="12240" w:h="15840"/>
      <w:pgMar w:top="1440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0065" w14:textId="77777777" w:rsidR="006B789D" w:rsidRDefault="006B789D" w:rsidP="00AB2B8D">
      <w:pPr>
        <w:spacing w:after="0" w:line="240" w:lineRule="auto"/>
      </w:pPr>
      <w:r>
        <w:separator/>
      </w:r>
    </w:p>
  </w:endnote>
  <w:endnote w:type="continuationSeparator" w:id="0">
    <w:p w14:paraId="7395217A" w14:textId="77777777" w:rsidR="006B789D" w:rsidRDefault="006B789D" w:rsidP="00AB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8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CE8E2" w14:textId="77777777" w:rsidR="00AB2B8D" w:rsidRDefault="00AB2B8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E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ED7B4" w14:textId="77777777" w:rsidR="00AB2B8D" w:rsidRDefault="00AB2B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6DC21" w14:textId="77777777" w:rsidR="006B789D" w:rsidRDefault="006B789D" w:rsidP="00AB2B8D">
      <w:pPr>
        <w:spacing w:after="0" w:line="240" w:lineRule="auto"/>
      </w:pPr>
      <w:r>
        <w:separator/>
      </w:r>
    </w:p>
  </w:footnote>
  <w:footnote w:type="continuationSeparator" w:id="0">
    <w:p w14:paraId="127A5223" w14:textId="77777777" w:rsidR="006B789D" w:rsidRDefault="006B789D" w:rsidP="00AB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922"/>
    <w:multiLevelType w:val="hybridMultilevel"/>
    <w:tmpl w:val="B5B214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E53362"/>
    <w:multiLevelType w:val="hybridMultilevel"/>
    <w:tmpl w:val="541AFC40"/>
    <w:lvl w:ilvl="0" w:tplc="9D98706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2EE2551"/>
    <w:multiLevelType w:val="hybridMultilevel"/>
    <w:tmpl w:val="9DF2ED80"/>
    <w:lvl w:ilvl="0" w:tplc="D13212BE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B855A0"/>
    <w:multiLevelType w:val="hybridMultilevel"/>
    <w:tmpl w:val="4600F35C"/>
    <w:lvl w:ilvl="0" w:tplc="F668A32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EF6B6E"/>
    <w:multiLevelType w:val="multilevel"/>
    <w:tmpl w:val="70E43B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0" w:hanging="4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5">
    <w:nsid w:val="100705E2"/>
    <w:multiLevelType w:val="hybridMultilevel"/>
    <w:tmpl w:val="A412F4DE"/>
    <w:lvl w:ilvl="0" w:tplc="D13212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254A"/>
    <w:multiLevelType w:val="hybridMultilevel"/>
    <w:tmpl w:val="A8180D5E"/>
    <w:lvl w:ilvl="0" w:tplc="C75EF5DC">
      <w:numFmt w:val="bullet"/>
      <w:lvlText w:val="-"/>
      <w:lvlJc w:val="left"/>
      <w:pPr>
        <w:ind w:left="13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7">
    <w:nsid w:val="16236C9B"/>
    <w:multiLevelType w:val="hybridMultilevel"/>
    <w:tmpl w:val="93047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9B6CD7"/>
    <w:multiLevelType w:val="multilevel"/>
    <w:tmpl w:val="8B20D7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>
    <w:nsid w:val="20330C55"/>
    <w:multiLevelType w:val="hybridMultilevel"/>
    <w:tmpl w:val="AC387DC0"/>
    <w:lvl w:ilvl="0" w:tplc="D13212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73B"/>
    <w:multiLevelType w:val="hybridMultilevel"/>
    <w:tmpl w:val="B91AAD8C"/>
    <w:lvl w:ilvl="0" w:tplc="D13212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00D73"/>
    <w:multiLevelType w:val="multilevel"/>
    <w:tmpl w:val="2F16A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9140119"/>
    <w:multiLevelType w:val="hybridMultilevel"/>
    <w:tmpl w:val="AA6461D2"/>
    <w:lvl w:ilvl="0" w:tplc="040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3">
    <w:nsid w:val="395A7222"/>
    <w:multiLevelType w:val="multilevel"/>
    <w:tmpl w:val="AE44E10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3A6E3DA1"/>
    <w:multiLevelType w:val="multilevel"/>
    <w:tmpl w:val="16DE90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5">
    <w:nsid w:val="3F95065F"/>
    <w:multiLevelType w:val="hybridMultilevel"/>
    <w:tmpl w:val="38D4915A"/>
    <w:lvl w:ilvl="0" w:tplc="D13212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D13212B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D603A"/>
    <w:multiLevelType w:val="multilevel"/>
    <w:tmpl w:val="9FF86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45730724"/>
    <w:multiLevelType w:val="hybridMultilevel"/>
    <w:tmpl w:val="39A03AAA"/>
    <w:lvl w:ilvl="0" w:tplc="D13212BE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13EB7"/>
    <w:multiLevelType w:val="hybridMultilevel"/>
    <w:tmpl w:val="4ECAFF08"/>
    <w:lvl w:ilvl="0" w:tplc="DE90D220">
      <w:start w:val="1"/>
      <w:numFmt w:val="decimal"/>
      <w:lvlText w:val="%1.1б 1.2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A564C"/>
    <w:multiLevelType w:val="hybridMultilevel"/>
    <w:tmpl w:val="34E6D4BC"/>
    <w:lvl w:ilvl="0" w:tplc="C0284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5426E"/>
    <w:multiLevelType w:val="multilevel"/>
    <w:tmpl w:val="4CA831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0D4167E"/>
    <w:multiLevelType w:val="multilevel"/>
    <w:tmpl w:val="254C48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51E7409B"/>
    <w:multiLevelType w:val="hybridMultilevel"/>
    <w:tmpl w:val="83BA06B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15946"/>
    <w:multiLevelType w:val="hybridMultilevel"/>
    <w:tmpl w:val="E460C1BC"/>
    <w:lvl w:ilvl="0" w:tplc="6A14DD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206D4F"/>
    <w:multiLevelType w:val="hybridMultilevel"/>
    <w:tmpl w:val="A0266702"/>
    <w:lvl w:ilvl="0" w:tplc="D13212BE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183010"/>
    <w:multiLevelType w:val="hybridMultilevel"/>
    <w:tmpl w:val="2216043E"/>
    <w:lvl w:ilvl="0" w:tplc="D13212BE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686AB2"/>
    <w:multiLevelType w:val="multilevel"/>
    <w:tmpl w:val="8B20D7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7">
    <w:nsid w:val="6E866B42"/>
    <w:multiLevelType w:val="multilevel"/>
    <w:tmpl w:val="70E43B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0" w:hanging="4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8">
    <w:nsid w:val="7621160C"/>
    <w:multiLevelType w:val="hybridMultilevel"/>
    <w:tmpl w:val="02D29040"/>
    <w:lvl w:ilvl="0" w:tplc="1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8C6417"/>
    <w:multiLevelType w:val="multilevel"/>
    <w:tmpl w:val="468A6C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0">
    <w:nsid w:val="78B17A09"/>
    <w:multiLevelType w:val="multilevel"/>
    <w:tmpl w:val="70E43B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0" w:hanging="4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31">
    <w:nsid w:val="7B4C5A76"/>
    <w:multiLevelType w:val="hybridMultilevel"/>
    <w:tmpl w:val="5964B5BA"/>
    <w:lvl w:ilvl="0" w:tplc="D13212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14B71"/>
    <w:multiLevelType w:val="hybridMultilevel"/>
    <w:tmpl w:val="BADACC9A"/>
    <w:lvl w:ilvl="0" w:tplc="B7A264A0">
      <w:start w:val="3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D3B5C"/>
    <w:multiLevelType w:val="hybridMultilevel"/>
    <w:tmpl w:val="E28A5C2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33"/>
  </w:num>
  <w:num w:numId="5">
    <w:abstractNumId w:val="0"/>
  </w:num>
  <w:num w:numId="6">
    <w:abstractNumId w:val="7"/>
  </w:num>
  <w:num w:numId="7">
    <w:abstractNumId w:val="17"/>
  </w:num>
  <w:num w:numId="8">
    <w:abstractNumId w:val="30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0"/>
  </w:num>
  <w:num w:numId="20">
    <w:abstractNumId w:val="11"/>
  </w:num>
  <w:num w:numId="21">
    <w:abstractNumId w:val="31"/>
  </w:num>
  <w:num w:numId="22">
    <w:abstractNumId w:val="5"/>
  </w:num>
  <w:num w:numId="23">
    <w:abstractNumId w:val="21"/>
  </w:num>
  <w:num w:numId="24">
    <w:abstractNumId w:val="8"/>
  </w:num>
  <w:num w:numId="25">
    <w:abstractNumId w:val="26"/>
  </w:num>
  <w:num w:numId="26">
    <w:abstractNumId w:val="3"/>
  </w:num>
  <w:num w:numId="27">
    <w:abstractNumId w:val="18"/>
  </w:num>
  <w:num w:numId="28">
    <w:abstractNumId w:val="28"/>
  </w:num>
  <w:num w:numId="29">
    <w:abstractNumId w:val="29"/>
  </w:num>
  <w:num w:numId="30">
    <w:abstractNumId w:val="19"/>
  </w:num>
  <w:num w:numId="31">
    <w:abstractNumId w:val="22"/>
  </w:num>
  <w:num w:numId="32">
    <w:abstractNumId w:val="32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3MTAxMTS1MLI0NjBS0lEKTi0uzszPAykwrAUAUUkfHSwAAAA="/>
  </w:docVars>
  <w:rsids>
    <w:rsidRoot w:val="001C537B"/>
    <w:rsid w:val="0001322E"/>
    <w:rsid w:val="00023792"/>
    <w:rsid w:val="00024DAA"/>
    <w:rsid w:val="00037687"/>
    <w:rsid w:val="00043320"/>
    <w:rsid w:val="0005258D"/>
    <w:rsid w:val="00065D2A"/>
    <w:rsid w:val="000A18F2"/>
    <w:rsid w:val="000A4579"/>
    <w:rsid w:val="000B353F"/>
    <w:rsid w:val="00105176"/>
    <w:rsid w:val="00116788"/>
    <w:rsid w:val="00130245"/>
    <w:rsid w:val="001410E9"/>
    <w:rsid w:val="00141CF1"/>
    <w:rsid w:val="001535CB"/>
    <w:rsid w:val="00155515"/>
    <w:rsid w:val="00155DCC"/>
    <w:rsid w:val="001562CF"/>
    <w:rsid w:val="00173B84"/>
    <w:rsid w:val="00174C4D"/>
    <w:rsid w:val="001958DA"/>
    <w:rsid w:val="001B738E"/>
    <w:rsid w:val="001C537B"/>
    <w:rsid w:val="001E4E8D"/>
    <w:rsid w:val="001E6A85"/>
    <w:rsid w:val="001E7E28"/>
    <w:rsid w:val="00200B55"/>
    <w:rsid w:val="0020632F"/>
    <w:rsid w:val="00210E52"/>
    <w:rsid w:val="00224E6C"/>
    <w:rsid w:val="00231DE2"/>
    <w:rsid w:val="0023257F"/>
    <w:rsid w:val="002360D3"/>
    <w:rsid w:val="0023635C"/>
    <w:rsid w:val="002947D3"/>
    <w:rsid w:val="002A242B"/>
    <w:rsid w:val="002A4D82"/>
    <w:rsid w:val="002B0014"/>
    <w:rsid w:val="002B7F9E"/>
    <w:rsid w:val="002D36A2"/>
    <w:rsid w:val="002E2BE5"/>
    <w:rsid w:val="002F5535"/>
    <w:rsid w:val="0030645D"/>
    <w:rsid w:val="0030727A"/>
    <w:rsid w:val="00313E65"/>
    <w:rsid w:val="00316479"/>
    <w:rsid w:val="003218F3"/>
    <w:rsid w:val="00325E20"/>
    <w:rsid w:val="003277A3"/>
    <w:rsid w:val="0034252C"/>
    <w:rsid w:val="00342938"/>
    <w:rsid w:val="00344EF4"/>
    <w:rsid w:val="00360B90"/>
    <w:rsid w:val="0036142A"/>
    <w:rsid w:val="00363A05"/>
    <w:rsid w:val="00383082"/>
    <w:rsid w:val="00390AA2"/>
    <w:rsid w:val="003B045B"/>
    <w:rsid w:val="003B1076"/>
    <w:rsid w:val="003B4BB8"/>
    <w:rsid w:val="003D31D1"/>
    <w:rsid w:val="0041596B"/>
    <w:rsid w:val="0042329E"/>
    <w:rsid w:val="00425410"/>
    <w:rsid w:val="00427650"/>
    <w:rsid w:val="004323B4"/>
    <w:rsid w:val="004350F4"/>
    <w:rsid w:val="00437884"/>
    <w:rsid w:val="00444087"/>
    <w:rsid w:val="004467DC"/>
    <w:rsid w:val="0045006A"/>
    <w:rsid w:val="004617B6"/>
    <w:rsid w:val="00462765"/>
    <w:rsid w:val="00462C71"/>
    <w:rsid w:val="00471C25"/>
    <w:rsid w:val="00476961"/>
    <w:rsid w:val="00477772"/>
    <w:rsid w:val="00484680"/>
    <w:rsid w:val="00494A16"/>
    <w:rsid w:val="004B718B"/>
    <w:rsid w:val="004B752A"/>
    <w:rsid w:val="004D329E"/>
    <w:rsid w:val="004D4E7D"/>
    <w:rsid w:val="004E72EE"/>
    <w:rsid w:val="004E7DD5"/>
    <w:rsid w:val="004F2455"/>
    <w:rsid w:val="005026C4"/>
    <w:rsid w:val="0050433C"/>
    <w:rsid w:val="00505116"/>
    <w:rsid w:val="00534EAA"/>
    <w:rsid w:val="00536270"/>
    <w:rsid w:val="00540A70"/>
    <w:rsid w:val="005562F6"/>
    <w:rsid w:val="00570362"/>
    <w:rsid w:val="0059059A"/>
    <w:rsid w:val="005A1730"/>
    <w:rsid w:val="005A7B0C"/>
    <w:rsid w:val="005F433D"/>
    <w:rsid w:val="00611D3E"/>
    <w:rsid w:val="00615BD2"/>
    <w:rsid w:val="00621A78"/>
    <w:rsid w:val="0062285B"/>
    <w:rsid w:val="0062699D"/>
    <w:rsid w:val="00633D34"/>
    <w:rsid w:val="00650B07"/>
    <w:rsid w:val="00660B62"/>
    <w:rsid w:val="006718DC"/>
    <w:rsid w:val="00681A7B"/>
    <w:rsid w:val="00681F41"/>
    <w:rsid w:val="006A129D"/>
    <w:rsid w:val="006B0310"/>
    <w:rsid w:val="006B789D"/>
    <w:rsid w:val="006D498F"/>
    <w:rsid w:val="006F566E"/>
    <w:rsid w:val="00706453"/>
    <w:rsid w:val="00727B74"/>
    <w:rsid w:val="007419B8"/>
    <w:rsid w:val="007500D7"/>
    <w:rsid w:val="00753DA9"/>
    <w:rsid w:val="00761262"/>
    <w:rsid w:val="00761E97"/>
    <w:rsid w:val="00767A53"/>
    <w:rsid w:val="007769B7"/>
    <w:rsid w:val="00792159"/>
    <w:rsid w:val="007C7396"/>
    <w:rsid w:val="007D2955"/>
    <w:rsid w:val="007D6B7A"/>
    <w:rsid w:val="007E3832"/>
    <w:rsid w:val="008010F1"/>
    <w:rsid w:val="0081196D"/>
    <w:rsid w:val="008337A6"/>
    <w:rsid w:val="00841F6D"/>
    <w:rsid w:val="00856B45"/>
    <w:rsid w:val="008714A0"/>
    <w:rsid w:val="00880EE0"/>
    <w:rsid w:val="00893772"/>
    <w:rsid w:val="008B29D5"/>
    <w:rsid w:val="008B5B43"/>
    <w:rsid w:val="008D31E0"/>
    <w:rsid w:val="008E630C"/>
    <w:rsid w:val="008F0CA5"/>
    <w:rsid w:val="008F6569"/>
    <w:rsid w:val="008F67BC"/>
    <w:rsid w:val="00921839"/>
    <w:rsid w:val="00924ED2"/>
    <w:rsid w:val="009371AF"/>
    <w:rsid w:val="00952504"/>
    <w:rsid w:val="0098565F"/>
    <w:rsid w:val="009B6A5D"/>
    <w:rsid w:val="009C15E4"/>
    <w:rsid w:val="009D38D4"/>
    <w:rsid w:val="009D7D58"/>
    <w:rsid w:val="009E1788"/>
    <w:rsid w:val="00A12DB2"/>
    <w:rsid w:val="00A23C6D"/>
    <w:rsid w:val="00A338C8"/>
    <w:rsid w:val="00A572BE"/>
    <w:rsid w:val="00A756DE"/>
    <w:rsid w:val="00A841F2"/>
    <w:rsid w:val="00A84CB6"/>
    <w:rsid w:val="00A92BB9"/>
    <w:rsid w:val="00AB2B8D"/>
    <w:rsid w:val="00AB30E5"/>
    <w:rsid w:val="00AC373C"/>
    <w:rsid w:val="00AD52A4"/>
    <w:rsid w:val="00AE2E25"/>
    <w:rsid w:val="00B3072E"/>
    <w:rsid w:val="00B63018"/>
    <w:rsid w:val="00B71D01"/>
    <w:rsid w:val="00B806C0"/>
    <w:rsid w:val="00B92C8A"/>
    <w:rsid w:val="00BB2F0D"/>
    <w:rsid w:val="00BC1770"/>
    <w:rsid w:val="00BC6DC6"/>
    <w:rsid w:val="00BF6B7F"/>
    <w:rsid w:val="00C0756F"/>
    <w:rsid w:val="00C36004"/>
    <w:rsid w:val="00C65C45"/>
    <w:rsid w:val="00C86655"/>
    <w:rsid w:val="00C8687A"/>
    <w:rsid w:val="00C95315"/>
    <w:rsid w:val="00CA462D"/>
    <w:rsid w:val="00CD06B6"/>
    <w:rsid w:val="00CD4454"/>
    <w:rsid w:val="00D01A2D"/>
    <w:rsid w:val="00D01EF9"/>
    <w:rsid w:val="00D03EB1"/>
    <w:rsid w:val="00D06621"/>
    <w:rsid w:val="00D11495"/>
    <w:rsid w:val="00D15598"/>
    <w:rsid w:val="00D33033"/>
    <w:rsid w:val="00D35BFC"/>
    <w:rsid w:val="00D37BCE"/>
    <w:rsid w:val="00D56A96"/>
    <w:rsid w:val="00D85C6C"/>
    <w:rsid w:val="00D9240C"/>
    <w:rsid w:val="00DA596C"/>
    <w:rsid w:val="00DD4DF6"/>
    <w:rsid w:val="00DF67D3"/>
    <w:rsid w:val="00E03A4F"/>
    <w:rsid w:val="00E15FA3"/>
    <w:rsid w:val="00E32323"/>
    <w:rsid w:val="00E3599D"/>
    <w:rsid w:val="00E45DFA"/>
    <w:rsid w:val="00E5438A"/>
    <w:rsid w:val="00E55734"/>
    <w:rsid w:val="00E5683E"/>
    <w:rsid w:val="00E66929"/>
    <w:rsid w:val="00E71B19"/>
    <w:rsid w:val="00E726E7"/>
    <w:rsid w:val="00E916AB"/>
    <w:rsid w:val="00E97D3C"/>
    <w:rsid w:val="00EB1C76"/>
    <w:rsid w:val="00EC32F0"/>
    <w:rsid w:val="00ED0570"/>
    <w:rsid w:val="00ED2C9D"/>
    <w:rsid w:val="00ED4F42"/>
    <w:rsid w:val="00EE7BE4"/>
    <w:rsid w:val="00F04758"/>
    <w:rsid w:val="00F05D93"/>
    <w:rsid w:val="00F150F4"/>
    <w:rsid w:val="00F169CD"/>
    <w:rsid w:val="00F25D7A"/>
    <w:rsid w:val="00F2754C"/>
    <w:rsid w:val="00F31B76"/>
    <w:rsid w:val="00F43A74"/>
    <w:rsid w:val="00F47B13"/>
    <w:rsid w:val="00F5571F"/>
    <w:rsid w:val="00F6010A"/>
    <w:rsid w:val="00F606D2"/>
    <w:rsid w:val="00F615B5"/>
    <w:rsid w:val="00F63B7C"/>
    <w:rsid w:val="00F944C5"/>
    <w:rsid w:val="00FA0D24"/>
    <w:rsid w:val="00FD2898"/>
    <w:rsid w:val="00FD7614"/>
    <w:rsid w:val="00FE1CAE"/>
    <w:rsid w:val="00FE4E06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B8D"/>
  </w:style>
  <w:style w:type="paragraph" w:styleId="a6">
    <w:name w:val="footer"/>
    <w:basedOn w:val="a"/>
    <w:link w:val="a7"/>
    <w:uiPriority w:val="99"/>
    <w:unhideWhenUsed/>
    <w:rsid w:val="00AB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B8D"/>
  </w:style>
  <w:style w:type="table" w:styleId="a8">
    <w:name w:val="Table Grid"/>
    <w:basedOn w:val="a1"/>
    <w:uiPriority w:val="39"/>
    <w:rsid w:val="00FE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B8D"/>
  </w:style>
  <w:style w:type="paragraph" w:styleId="a6">
    <w:name w:val="footer"/>
    <w:basedOn w:val="a"/>
    <w:link w:val="a7"/>
    <w:uiPriority w:val="99"/>
    <w:unhideWhenUsed/>
    <w:rsid w:val="00AB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B8D"/>
  </w:style>
  <w:style w:type="table" w:styleId="a8">
    <w:name w:val="Table Grid"/>
    <w:basedOn w:val="a1"/>
    <w:uiPriority w:val="39"/>
    <w:rsid w:val="00FE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12795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 Степанова</dc:creator>
  <cp:lastModifiedBy>Лариса В. Кравченко</cp:lastModifiedBy>
  <cp:revision>2</cp:revision>
  <cp:lastPrinted>2020-08-14T09:44:00Z</cp:lastPrinted>
  <dcterms:created xsi:type="dcterms:W3CDTF">2020-08-18T09:03:00Z</dcterms:created>
  <dcterms:modified xsi:type="dcterms:W3CDTF">2020-08-18T09:03:00Z</dcterms:modified>
</cp:coreProperties>
</file>